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6E42" w14:textId="77777777" w:rsidR="00970E78" w:rsidRPr="00970E78" w:rsidRDefault="00970E78">
      <w:pPr>
        <w:rPr>
          <w:rFonts w:asciiTheme="majorHAnsi" w:hAnsiTheme="majorHAnsi"/>
          <w:sz w:val="20"/>
          <w:szCs w:val="20"/>
        </w:rPr>
      </w:pPr>
    </w:p>
    <w:tbl>
      <w:tblPr>
        <w:tblStyle w:val="TableGrid"/>
        <w:tblW w:w="15247" w:type="dxa"/>
        <w:tblInd w:w="-1572" w:type="dxa"/>
        <w:tblLayout w:type="fixed"/>
        <w:tblLook w:val="04A0" w:firstRow="1" w:lastRow="0" w:firstColumn="1" w:lastColumn="0" w:noHBand="0" w:noVBand="1"/>
      </w:tblPr>
      <w:tblGrid>
        <w:gridCol w:w="7591"/>
        <w:gridCol w:w="7656"/>
      </w:tblGrid>
      <w:tr w:rsidR="008C391F" w:rsidRPr="00970E78" w14:paraId="5F7CA020" w14:textId="77777777" w:rsidTr="004427F3">
        <w:tc>
          <w:tcPr>
            <w:tcW w:w="7591" w:type="dxa"/>
          </w:tcPr>
          <w:p w14:paraId="3E265958" w14:textId="637E9281" w:rsidR="00970E78" w:rsidRPr="00BA3AD9" w:rsidRDefault="00970E78" w:rsidP="00BA3AD9">
            <w:pPr>
              <w:pStyle w:val="LLNormal"/>
              <w:spacing w:line="240" w:lineRule="auto"/>
              <w:jc w:val="center"/>
              <w:rPr>
                <w:rFonts w:asciiTheme="majorHAnsi" w:hAnsiTheme="majorHAnsi"/>
                <w:b/>
                <w:bCs/>
                <w:szCs w:val="20"/>
              </w:rPr>
            </w:pPr>
            <w:r w:rsidRPr="00BA3AD9">
              <w:rPr>
                <w:rFonts w:asciiTheme="majorHAnsi" w:hAnsiTheme="majorHAnsi"/>
                <w:b/>
                <w:bCs/>
                <w:szCs w:val="20"/>
              </w:rPr>
              <w:t xml:space="preserve">Public </w:t>
            </w:r>
            <w:proofErr w:type="spellStart"/>
            <w:r w:rsidRPr="00BA3AD9">
              <w:rPr>
                <w:rFonts w:asciiTheme="majorHAnsi" w:hAnsiTheme="majorHAnsi"/>
                <w:b/>
                <w:bCs/>
                <w:szCs w:val="20"/>
              </w:rPr>
              <w:t>CbCR</w:t>
            </w:r>
            <w:proofErr w:type="spellEnd"/>
          </w:p>
          <w:p w14:paraId="08D53583" w14:textId="2ADEBDDC" w:rsidR="007C5414" w:rsidRPr="00970E78" w:rsidRDefault="007C5414" w:rsidP="00153EA0">
            <w:pPr>
              <w:pStyle w:val="LLNormal"/>
              <w:spacing w:line="240" w:lineRule="auto"/>
              <w:rPr>
                <w:rFonts w:asciiTheme="majorHAnsi" w:hAnsiTheme="majorHAnsi"/>
                <w:szCs w:val="20"/>
              </w:rPr>
            </w:pPr>
            <w:r w:rsidRPr="00970E78">
              <w:rPr>
                <w:rFonts w:asciiTheme="majorHAnsi" w:hAnsiTheme="majorHAnsi"/>
                <w:szCs w:val="20"/>
              </w:rPr>
              <w:t>IDS/GLS endorses the various worldwide initiatives to achieve greater corporate transparency. IDS/GLS believes that corporate transparency contributes to a better-informed public debate regarding the level of tax compliance of multinationals. Corporate transparency helps (re)gaining the trust of citizens in the fairness of national tax systems.</w:t>
            </w:r>
          </w:p>
          <w:p w14:paraId="76728730" w14:textId="77777777" w:rsidR="007C5414" w:rsidRPr="00970E78" w:rsidRDefault="007C5414" w:rsidP="00153EA0">
            <w:pPr>
              <w:pStyle w:val="LLNormal"/>
              <w:spacing w:line="240" w:lineRule="auto"/>
              <w:rPr>
                <w:rFonts w:asciiTheme="majorHAnsi" w:hAnsiTheme="majorHAnsi"/>
                <w:szCs w:val="20"/>
              </w:rPr>
            </w:pPr>
            <w:r w:rsidRPr="00970E78">
              <w:rPr>
                <w:rFonts w:asciiTheme="majorHAnsi" w:hAnsiTheme="majorHAnsi"/>
                <w:szCs w:val="20"/>
              </w:rPr>
              <w:t>For many years, and with great interest, IDS/GLS embraced the European Commission’s initiative to introduce public country-by-country reporting – i.e. multinationals publicly disclosing information on where profits are reported and where taxes are paid. The public country-by-country report is a tool for increasing corporate transparency and enhancing public scrutiny.</w:t>
            </w:r>
          </w:p>
          <w:p w14:paraId="22B94585" w14:textId="4B797916" w:rsidR="007C5414" w:rsidRPr="00970E78" w:rsidRDefault="007C5414" w:rsidP="00153EA0">
            <w:pPr>
              <w:spacing w:after="200" w:line="240" w:lineRule="auto"/>
              <w:rPr>
                <w:rFonts w:asciiTheme="majorHAnsi" w:hAnsiTheme="majorHAnsi"/>
                <w:sz w:val="20"/>
                <w:szCs w:val="20"/>
              </w:rPr>
            </w:pPr>
            <w:r w:rsidRPr="00970E78">
              <w:rPr>
                <w:rFonts w:asciiTheme="majorHAnsi" w:hAnsiTheme="majorHAnsi"/>
                <w:sz w:val="20"/>
                <w:szCs w:val="20"/>
              </w:rPr>
              <w:t>On 24 November 2021, the European Parliament published its final proposal for public country-by-country reporting in the form of an amendment to the existing accounting Directive 2013/34/EU – i.e. “</w:t>
            </w:r>
            <w:r w:rsidRPr="00970E78">
              <w:rPr>
                <w:rFonts w:asciiTheme="majorHAnsi" w:hAnsiTheme="majorHAnsi"/>
                <w:i/>
                <w:iCs/>
                <w:sz w:val="20"/>
                <w:szCs w:val="20"/>
              </w:rPr>
              <w:t>Directive (EU) 2021/2101 of the European Parliament and of the Council of 24 November 2021 amending Directive 2013/34/EU as regards disclosure of income tax information by certain undertakings and branches</w:t>
            </w:r>
            <w:r w:rsidRPr="00970E78">
              <w:rPr>
                <w:rFonts w:asciiTheme="majorHAnsi" w:hAnsiTheme="majorHAnsi"/>
                <w:sz w:val="20"/>
                <w:szCs w:val="20"/>
              </w:rPr>
              <w:t>”. EU Member States shall ensure that laws, regulations and administrative provisions transposing public country-by-country reporting apply, at the latest, on or after 22 June 2024. Member States may allow for one or more specific items of information otherwise required to be disclosed to be temporarily omitted from the report where their disclosure would be seriously prejudicial to the commercial position of the undertakings to which the report relates. Any omission shall be clearly indicated in the report together with a duly reasoned explanation regarding the reasons therefor.</w:t>
            </w:r>
          </w:p>
          <w:p w14:paraId="521321B6" w14:textId="77777777" w:rsidR="008E6306" w:rsidRDefault="008E6306" w:rsidP="00153EA0">
            <w:pPr>
              <w:pStyle w:val="LLNormal"/>
              <w:spacing w:line="240" w:lineRule="auto"/>
              <w:rPr>
                <w:rFonts w:asciiTheme="majorHAnsi" w:hAnsiTheme="majorHAnsi"/>
                <w:szCs w:val="20"/>
              </w:rPr>
            </w:pPr>
          </w:p>
          <w:p w14:paraId="24FB2B84" w14:textId="77777777" w:rsidR="00570301" w:rsidRDefault="00570301" w:rsidP="00153EA0">
            <w:pPr>
              <w:pStyle w:val="LLNormal"/>
              <w:spacing w:line="240" w:lineRule="auto"/>
              <w:rPr>
                <w:rFonts w:asciiTheme="majorHAnsi" w:hAnsiTheme="majorHAnsi"/>
                <w:szCs w:val="20"/>
              </w:rPr>
            </w:pPr>
          </w:p>
          <w:p w14:paraId="38ACD1F7" w14:textId="5BBE0CBA" w:rsidR="007C5414" w:rsidRPr="00970E78" w:rsidRDefault="007C5414" w:rsidP="00153EA0">
            <w:pPr>
              <w:pStyle w:val="LLNormal"/>
              <w:spacing w:line="240" w:lineRule="auto"/>
              <w:rPr>
                <w:rFonts w:asciiTheme="majorHAnsi" w:hAnsiTheme="majorHAnsi"/>
                <w:szCs w:val="20"/>
              </w:rPr>
            </w:pPr>
            <w:r w:rsidRPr="00970E78">
              <w:rPr>
                <w:rFonts w:asciiTheme="majorHAnsi" w:hAnsiTheme="majorHAnsi"/>
                <w:szCs w:val="20"/>
              </w:rPr>
              <w:t xml:space="preserve">Romania is the first EU Member State that transposed public country-by-country reporting into national law. As an internationally operating parcel service provider, IDS/GLS has an EU-wide presence </w:t>
            </w:r>
            <w:proofErr w:type="gramStart"/>
            <w:r w:rsidRPr="00970E78">
              <w:rPr>
                <w:rFonts w:asciiTheme="majorHAnsi" w:hAnsiTheme="majorHAnsi"/>
                <w:szCs w:val="20"/>
              </w:rPr>
              <w:t>and also</w:t>
            </w:r>
            <w:proofErr w:type="gramEnd"/>
            <w:r w:rsidRPr="00970E78">
              <w:rPr>
                <w:rFonts w:asciiTheme="majorHAnsi" w:hAnsiTheme="majorHAnsi"/>
                <w:szCs w:val="20"/>
              </w:rPr>
              <w:t xml:space="preserve"> in Romania. To be compliant with Romanian legislation, IDS/GLS complies with the visual presentation and content of public country-by-country reporting as provided for in Annex I to the European Commission’s draft implementing regulation – i.e. “</w:t>
            </w:r>
            <w:bookmarkStart w:id="0" w:name="_Hlk192678901"/>
            <w:r w:rsidRPr="00970E78">
              <w:rPr>
                <w:rFonts w:asciiTheme="majorHAnsi" w:hAnsiTheme="majorHAnsi"/>
                <w:i/>
                <w:iCs/>
                <w:szCs w:val="20"/>
              </w:rPr>
              <w:t>Commission implementing regulation (EU) … / … of XXX laying down a common template and electronic reporting formats for the application of Directive 2013/34/EU of the European Parliament and of the Council as regards the information to be presented in reports on income tax information</w:t>
            </w:r>
            <w:bookmarkEnd w:id="0"/>
            <w:r w:rsidRPr="00970E78">
              <w:rPr>
                <w:rFonts w:asciiTheme="majorHAnsi" w:hAnsiTheme="majorHAnsi"/>
                <w:szCs w:val="20"/>
              </w:rPr>
              <w:t xml:space="preserve">” and as set out below.  </w:t>
            </w:r>
          </w:p>
          <w:p w14:paraId="5741E70F" w14:textId="77777777" w:rsidR="00570301" w:rsidRDefault="00570301" w:rsidP="00153EA0">
            <w:pPr>
              <w:pStyle w:val="LLNormal"/>
              <w:spacing w:line="240" w:lineRule="auto"/>
              <w:rPr>
                <w:rFonts w:asciiTheme="majorHAnsi" w:hAnsiTheme="majorHAnsi"/>
                <w:b/>
                <w:bCs/>
                <w:szCs w:val="20"/>
              </w:rPr>
            </w:pPr>
          </w:p>
          <w:p w14:paraId="62872260" w14:textId="77777777" w:rsidR="0025778E" w:rsidRDefault="0025778E" w:rsidP="00153EA0">
            <w:pPr>
              <w:pStyle w:val="LLNormal"/>
              <w:spacing w:line="240" w:lineRule="auto"/>
              <w:rPr>
                <w:rFonts w:asciiTheme="majorHAnsi" w:hAnsiTheme="majorHAnsi"/>
                <w:b/>
                <w:bCs/>
                <w:szCs w:val="20"/>
              </w:rPr>
            </w:pPr>
          </w:p>
          <w:p w14:paraId="58FFB19E" w14:textId="50E45469" w:rsidR="007C5414" w:rsidRPr="00970E78" w:rsidRDefault="007C5414" w:rsidP="00153EA0">
            <w:pPr>
              <w:pStyle w:val="LLNormal"/>
              <w:spacing w:line="240" w:lineRule="auto"/>
              <w:rPr>
                <w:rFonts w:asciiTheme="majorHAnsi" w:hAnsiTheme="majorHAnsi"/>
                <w:b/>
                <w:bCs/>
                <w:szCs w:val="20"/>
              </w:rPr>
            </w:pPr>
            <w:r w:rsidRPr="00970E78">
              <w:rPr>
                <w:rFonts w:asciiTheme="majorHAnsi" w:hAnsiTheme="majorHAnsi"/>
                <w:b/>
                <w:bCs/>
                <w:szCs w:val="20"/>
              </w:rPr>
              <w:t>Section 1 – General information</w:t>
            </w:r>
          </w:p>
          <w:tbl>
            <w:tblPr>
              <w:tblStyle w:val="TableGrid"/>
              <w:tblW w:w="7413" w:type="dxa"/>
              <w:tblLayout w:type="fixed"/>
              <w:tblLook w:val="04A0" w:firstRow="1" w:lastRow="0" w:firstColumn="1" w:lastColumn="0" w:noHBand="0" w:noVBand="1"/>
            </w:tblPr>
            <w:tblGrid>
              <w:gridCol w:w="3169"/>
              <w:gridCol w:w="4244"/>
            </w:tblGrid>
            <w:tr w:rsidR="007C5414" w:rsidRPr="00E22409" w14:paraId="6D7FECEE" w14:textId="77777777" w:rsidTr="00376599">
              <w:trPr>
                <w:trHeight w:val="580"/>
              </w:trPr>
              <w:tc>
                <w:tcPr>
                  <w:tcW w:w="3169" w:type="dxa"/>
                </w:tcPr>
                <w:p w14:paraId="644DDFC6"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t>Name of the ultimate parent of the group / of the standalone undertaking</w:t>
                  </w:r>
                </w:p>
              </w:tc>
              <w:tc>
                <w:tcPr>
                  <w:tcW w:w="4244" w:type="dxa"/>
                  <w:vAlign w:val="center"/>
                </w:tcPr>
                <w:p w14:paraId="1A8EA5EB" w14:textId="77777777" w:rsidR="007C5414" w:rsidRPr="00E22409" w:rsidRDefault="007C5414" w:rsidP="00153EA0">
                  <w:pPr>
                    <w:pStyle w:val="LLNormal"/>
                    <w:spacing w:line="240" w:lineRule="auto"/>
                    <w:jc w:val="left"/>
                    <w:rPr>
                      <w:rFonts w:asciiTheme="majorHAnsi" w:hAnsiTheme="majorHAnsi"/>
                      <w:sz w:val="16"/>
                      <w:szCs w:val="16"/>
                    </w:rPr>
                  </w:pPr>
                  <w:bookmarkStart w:id="1" w:name="_Hlk192679398"/>
                  <w:r w:rsidRPr="00E22409">
                    <w:rPr>
                      <w:rFonts w:asciiTheme="majorHAnsi" w:hAnsiTheme="majorHAnsi"/>
                      <w:sz w:val="16"/>
                      <w:szCs w:val="16"/>
                    </w:rPr>
                    <w:t>International Distribution Services Plc.</w:t>
                  </w:r>
                  <w:bookmarkEnd w:id="1"/>
                </w:p>
              </w:tc>
            </w:tr>
            <w:tr w:rsidR="007C5414" w:rsidRPr="00E22409" w14:paraId="2D463CD0" w14:textId="77777777" w:rsidTr="00376599">
              <w:trPr>
                <w:trHeight w:val="560"/>
              </w:trPr>
              <w:tc>
                <w:tcPr>
                  <w:tcW w:w="3169" w:type="dxa"/>
                </w:tcPr>
                <w:p w14:paraId="5FB14804"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t>Country where the ultimate parent has its registered office</w:t>
                  </w:r>
                </w:p>
              </w:tc>
              <w:tc>
                <w:tcPr>
                  <w:tcW w:w="4244" w:type="dxa"/>
                  <w:vAlign w:val="center"/>
                </w:tcPr>
                <w:p w14:paraId="2F24AE7A" w14:textId="77777777" w:rsidR="007C5414" w:rsidRPr="00E22409" w:rsidRDefault="007C5414" w:rsidP="00153EA0">
                  <w:pPr>
                    <w:pStyle w:val="LLNormal"/>
                    <w:spacing w:line="240" w:lineRule="auto"/>
                    <w:jc w:val="left"/>
                    <w:rPr>
                      <w:rFonts w:asciiTheme="majorHAnsi" w:hAnsiTheme="majorHAnsi"/>
                      <w:sz w:val="16"/>
                      <w:szCs w:val="16"/>
                    </w:rPr>
                  </w:pPr>
                  <w:r w:rsidRPr="00E22409">
                    <w:rPr>
                      <w:rFonts w:asciiTheme="majorHAnsi" w:hAnsiTheme="majorHAnsi"/>
                      <w:sz w:val="16"/>
                      <w:szCs w:val="16"/>
                    </w:rPr>
                    <w:t>United Kingdom</w:t>
                  </w:r>
                </w:p>
              </w:tc>
            </w:tr>
            <w:tr w:rsidR="007C5414" w:rsidRPr="00E22409" w14:paraId="0F69A265" w14:textId="77777777" w:rsidTr="00376599">
              <w:trPr>
                <w:trHeight w:val="400"/>
              </w:trPr>
              <w:tc>
                <w:tcPr>
                  <w:tcW w:w="3169" w:type="dxa"/>
                </w:tcPr>
                <w:p w14:paraId="7A97BDC4"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t>Financial Year – start date</w:t>
                  </w:r>
                </w:p>
              </w:tc>
              <w:tc>
                <w:tcPr>
                  <w:tcW w:w="4244" w:type="dxa"/>
                  <w:vAlign w:val="center"/>
                </w:tcPr>
                <w:p w14:paraId="2A580FFA" w14:textId="77777777" w:rsidR="007C5414" w:rsidRPr="00E22409" w:rsidRDefault="007C5414" w:rsidP="00153EA0">
                  <w:pPr>
                    <w:pStyle w:val="LLNormal"/>
                    <w:spacing w:line="240" w:lineRule="auto"/>
                    <w:jc w:val="left"/>
                    <w:rPr>
                      <w:rFonts w:asciiTheme="majorHAnsi" w:hAnsiTheme="majorHAnsi"/>
                      <w:sz w:val="16"/>
                      <w:szCs w:val="16"/>
                    </w:rPr>
                  </w:pPr>
                  <w:r w:rsidRPr="00E22409">
                    <w:rPr>
                      <w:rFonts w:asciiTheme="majorHAnsi" w:hAnsiTheme="majorHAnsi"/>
                      <w:sz w:val="16"/>
                      <w:szCs w:val="16"/>
                    </w:rPr>
                    <w:t>2023-April-01</w:t>
                  </w:r>
                </w:p>
              </w:tc>
            </w:tr>
            <w:tr w:rsidR="007C5414" w:rsidRPr="00E22409" w14:paraId="3C09FBE0" w14:textId="77777777" w:rsidTr="00376599">
              <w:trPr>
                <w:trHeight w:val="380"/>
              </w:trPr>
              <w:tc>
                <w:tcPr>
                  <w:tcW w:w="3169" w:type="dxa"/>
                </w:tcPr>
                <w:p w14:paraId="6287B57C"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t>Financial Year – end date</w:t>
                  </w:r>
                </w:p>
              </w:tc>
              <w:tc>
                <w:tcPr>
                  <w:tcW w:w="4244" w:type="dxa"/>
                  <w:vAlign w:val="center"/>
                </w:tcPr>
                <w:p w14:paraId="0B4A4A1D" w14:textId="77777777" w:rsidR="007C5414" w:rsidRPr="00E22409" w:rsidRDefault="007C5414" w:rsidP="00153EA0">
                  <w:pPr>
                    <w:pStyle w:val="LLNormal"/>
                    <w:spacing w:line="240" w:lineRule="auto"/>
                    <w:jc w:val="left"/>
                    <w:rPr>
                      <w:rFonts w:asciiTheme="majorHAnsi" w:hAnsiTheme="majorHAnsi"/>
                      <w:sz w:val="16"/>
                      <w:szCs w:val="16"/>
                    </w:rPr>
                  </w:pPr>
                  <w:r w:rsidRPr="00E22409">
                    <w:rPr>
                      <w:rFonts w:asciiTheme="majorHAnsi" w:hAnsiTheme="majorHAnsi"/>
                      <w:sz w:val="16"/>
                      <w:szCs w:val="16"/>
                    </w:rPr>
                    <w:t>2024-March-31</w:t>
                  </w:r>
                </w:p>
              </w:tc>
            </w:tr>
            <w:tr w:rsidR="007C5414" w:rsidRPr="00E22409" w14:paraId="76F02F2B" w14:textId="77777777" w:rsidTr="00376599">
              <w:trPr>
                <w:trHeight w:val="400"/>
              </w:trPr>
              <w:tc>
                <w:tcPr>
                  <w:tcW w:w="3169" w:type="dxa"/>
                </w:tcPr>
                <w:p w14:paraId="661082D6"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t>Reporting currency</w:t>
                  </w:r>
                </w:p>
              </w:tc>
              <w:tc>
                <w:tcPr>
                  <w:tcW w:w="4244" w:type="dxa"/>
                  <w:vAlign w:val="center"/>
                </w:tcPr>
                <w:p w14:paraId="22782A01" w14:textId="77777777" w:rsidR="007C5414" w:rsidRPr="00E22409" w:rsidRDefault="007C5414" w:rsidP="00153EA0">
                  <w:pPr>
                    <w:pStyle w:val="LLNormal"/>
                    <w:spacing w:line="240" w:lineRule="auto"/>
                    <w:jc w:val="left"/>
                    <w:rPr>
                      <w:rFonts w:asciiTheme="majorHAnsi" w:hAnsiTheme="majorHAnsi"/>
                      <w:sz w:val="16"/>
                      <w:szCs w:val="16"/>
                    </w:rPr>
                  </w:pPr>
                  <w:r w:rsidRPr="00E22409">
                    <w:rPr>
                      <w:rFonts w:asciiTheme="majorHAnsi" w:hAnsiTheme="majorHAnsi"/>
                      <w:sz w:val="16"/>
                      <w:szCs w:val="16"/>
                    </w:rPr>
                    <w:t>GBP</w:t>
                  </w:r>
                </w:p>
              </w:tc>
            </w:tr>
            <w:tr w:rsidR="007C5414" w:rsidRPr="00E22409" w14:paraId="17BB9331" w14:textId="77777777" w:rsidTr="00376599">
              <w:trPr>
                <w:trHeight w:val="1141"/>
              </w:trPr>
              <w:tc>
                <w:tcPr>
                  <w:tcW w:w="3169" w:type="dxa"/>
                </w:tcPr>
                <w:p w14:paraId="774E7768" w14:textId="77777777" w:rsidR="007C5414" w:rsidRPr="00E22409" w:rsidRDefault="007C5414" w:rsidP="00153EA0">
                  <w:pPr>
                    <w:pStyle w:val="LLNormal"/>
                    <w:spacing w:line="240" w:lineRule="auto"/>
                    <w:rPr>
                      <w:rFonts w:asciiTheme="majorHAnsi" w:hAnsiTheme="majorHAnsi"/>
                      <w:sz w:val="16"/>
                      <w:szCs w:val="16"/>
                    </w:rPr>
                  </w:pPr>
                  <w:r w:rsidRPr="00E22409">
                    <w:rPr>
                      <w:rFonts w:asciiTheme="majorHAnsi" w:hAnsiTheme="majorHAnsi"/>
                      <w:sz w:val="16"/>
                      <w:szCs w:val="16"/>
                    </w:rPr>
                    <w:lastRenderedPageBreak/>
                    <w:t>Is the information in the report based on reporting instructions used for tax purposes, pursuant to Section III, Parts B and C, of Annex III to Council Directive 2011/16/EU (yes/no)?</w:t>
                  </w:r>
                </w:p>
              </w:tc>
              <w:tc>
                <w:tcPr>
                  <w:tcW w:w="4244" w:type="dxa"/>
                  <w:vAlign w:val="center"/>
                </w:tcPr>
                <w:p w14:paraId="1847DB7A" w14:textId="77777777" w:rsidR="007C5414" w:rsidRPr="00E22409" w:rsidRDefault="007C5414" w:rsidP="00153EA0">
                  <w:pPr>
                    <w:pStyle w:val="LLNormal"/>
                    <w:spacing w:line="240" w:lineRule="auto"/>
                    <w:jc w:val="left"/>
                    <w:rPr>
                      <w:rFonts w:asciiTheme="majorHAnsi" w:hAnsiTheme="majorHAnsi"/>
                      <w:sz w:val="16"/>
                      <w:szCs w:val="16"/>
                    </w:rPr>
                  </w:pPr>
                  <w:r w:rsidRPr="00E22409">
                    <w:rPr>
                      <w:rFonts w:asciiTheme="majorHAnsi" w:hAnsiTheme="majorHAnsi"/>
                      <w:sz w:val="16"/>
                      <w:szCs w:val="16"/>
                    </w:rPr>
                    <w:t>Yes</w:t>
                  </w:r>
                </w:p>
              </w:tc>
            </w:tr>
          </w:tbl>
          <w:p w14:paraId="120A774D" w14:textId="77777777" w:rsidR="007C5414" w:rsidRPr="00970E78" w:rsidRDefault="007C5414" w:rsidP="00153EA0">
            <w:pPr>
              <w:pStyle w:val="LLNormal"/>
              <w:spacing w:line="240" w:lineRule="auto"/>
              <w:rPr>
                <w:rFonts w:asciiTheme="majorHAnsi" w:hAnsiTheme="majorHAnsi"/>
                <w:szCs w:val="20"/>
              </w:rPr>
            </w:pPr>
          </w:p>
          <w:p w14:paraId="368F76CD" w14:textId="77777777" w:rsidR="007C5414" w:rsidRPr="00970E78" w:rsidRDefault="007C5414" w:rsidP="00153EA0">
            <w:pPr>
              <w:pStyle w:val="LLNormal"/>
              <w:spacing w:line="240" w:lineRule="auto"/>
              <w:rPr>
                <w:rFonts w:asciiTheme="majorHAnsi" w:hAnsiTheme="majorHAnsi"/>
                <w:b/>
                <w:bCs/>
                <w:szCs w:val="20"/>
              </w:rPr>
            </w:pPr>
            <w:r w:rsidRPr="00970E78">
              <w:rPr>
                <w:rFonts w:asciiTheme="majorHAnsi" w:hAnsiTheme="majorHAnsi"/>
                <w:b/>
                <w:bCs/>
                <w:szCs w:val="20"/>
              </w:rPr>
              <w:t>Section 2 – Overview of allocation of elements on a country-by-country basis</w:t>
            </w:r>
          </w:p>
          <w:tbl>
            <w:tblPr>
              <w:tblStyle w:val="TableGrid"/>
              <w:tblW w:w="7496" w:type="dxa"/>
              <w:tblLayout w:type="fixed"/>
              <w:tblLook w:val="04A0" w:firstRow="1" w:lastRow="0" w:firstColumn="1" w:lastColumn="0" w:noHBand="0" w:noVBand="1"/>
            </w:tblPr>
            <w:tblGrid>
              <w:gridCol w:w="935"/>
              <w:gridCol w:w="916"/>
              <w:gridCol w:w="925"/>
              <w:gridCol w:w="912"/>
              <w:gridCol w:w="912"/>
              <w:gridCol w:w="916"/>
              <w:gridCol w:w="1034"/>
              <w:gridCol w:w="946"/>
            </w:tblGrid>
            <w:tr w:rsidR="00376599" w:rsidRPr="000D6AB4" w14:paraId="0AFDDA5F" w14:textId="77777777" w:rsidTr="002A73F8">
              <w:trPr>
                <w:trHeight w:val="1264"/>
              </w:trPr>
              <w:tc>
                <w:tcPr>
                  <w:tcW w:w="935" w:type="dxa"/>
                </w:tcPr>
                <w:p w14:paraId="38CD684C"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Tax jurisdiction</w:t>
                  </w:r>
                </w:p>
              </w:tc>
              <w:tc>
                <w:tcPr>
                  <w:tcW w:w="916" w:type="dxa"/>
                </w:tcPr>
                <w:p w14:paraId="3B26EC93"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Country code</w:t>
                  </w:r>
                </w:p>
              </w:tc>
              <w:tc>
                <w:tcPr>
                  <w:tcW w:w="925" w:type="dxa"/>
                </w:tcPr>
                <w:p w14:paraId="5F4E8962"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Revenues</w:t>
                  </w:r>
                </w:p>
              </w:tc>
              <w:tc>
                <w:tcPr>
                  <w:tcW w:w="912" w:type="dxa"/>
                </w:tcPr>
                <w:p w14:paraId="62F96777"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Profit (loss) before income tax</w:t>
                  </w:r>
                </w:p>
              </w:tc>
              <w:tc>
                <w:tcPr>
                  <w:tcW w:w="912" w:type="dxa"/>
                </w:tcPr>
                <w:p w14:paraId="15032B88"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Income tax paid – on cash basis</w:t>
                  </w:r>
                </w:p>
              </w:tc>
              <w:tc>
                <w:tcPr>
                  <w:tcW w:w="916" w:type="dxa"/>
                </w:tcPr>
                <w:p w14:paraId="35A9B814"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Income tax accrued -current year</w:t>
                  </w:r>
                </w:p>
              </w:tc>
              <w:tc>
                <w:tcPr>
                  <w:tcW w:w="1034" w:type="dxa"/>
                </w:tcPr>
                <w:p w14:paraId="4B07AF88"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Accumulated earnings</w:t>
                  </w:r>
                </w:p>
              </w:tc>
              <w:tc>
                <w:tcPr>
                  <w:tcW w:w="942" w:type="dxa"/>
                </w:tcPr>
                <w:p w14:paraId="00E5CD33" w14:textId="77777777" w:rsidR="007C5414" w:rsidRPr="000D6AB4" w:rsidRDefault="007C5414" w:rsidP="00153EA0">
                  <w:pPr>
                    <w:pStyle w:val="LLNormal"/>
                    <w:spacing w:line="240" w:lineRule="auto"/>
                    <w:rPr>
                      <w:rFonts w:asciiTheme="majorHAnsi" w:hAnsiTheme="majorHAnsi"/>
                      <w:b/>
                      <w:bCs/>
                      <w:sz w:val="14"/>
                      <w:szCs w:val="14"/>
                    </w:rPr>
                  </w:pPr>
                  <w:r w:rsidRPr="000D6AB4">
                    <w:rPr>
                      <w:rFonts w:asciiTheme="majorHAnsi" w:hAnsiTheme="majorHAnsi"/>
                      <w:b/>
                      <w:bCs/>
                      <w:sz w:val="14"/>
                      <w:szCs w:val="14"/>
                    </w:rPr>
                    <w:t>Number of employees</w:t>
                  </w:r>
                </w:p>
              </w:tc>
            </w:tr>
            <w:tr w:rsidR="007C5414" w:rsidRPr="000D6AB4" w14:paraId="463A7E14" w14:textId="77777777" w:rsidTr="002A73F8">
              <w:trPr>
                <w:trHeight w:val="842"/>
              </w:trPr>
              <w:tc>
                <w:tcPr>
                  <w:tcW w:w="935" w:type="dxa"/>
                </w:tcPr>
                <w:p w14:paraId="47AF34DF" w14:textId="77777777" w:rsidR="007C5414" w:rsidRPr="000D6AB4" w:rsidRDefault="007C5414" w:rsidP="00153EA0">
                  <w:pPr>
                    <w:pStyle w:val="LLNormal"/>
                    <w:spacing w:line="240" w:lineRule="auto"/>
                    <w:rPr>
                      <w:rFonts w:asciiTheme="majorHAnsi" w:hAnsiTheme="majorHAnsi"/>
                      <w:sz w:val="14"/>
                      <w:szCs w:val="14"/>
                    </w:rPr>
                  </w:pPr>
                  <w:r w:rsidRPr="000D6AB4">
                    <w:rPr>
                      <w:rFonts w:asciiTheme="majorHAnsi" w:hAnsiTheme="majorHAnsi"/>
                      <w:sz w:val="14"/>
                      <w:szCs w:val="14"/>
                    </w:rPr>
                    <w:t>Full name of Member State</w:t>
                  </w:r>
                </w:p>
              </w:tc>
              <w:tc>
                <w:tcPr>
                  <w:tcW w:w="6561" w:type="dxa"/>
                  <w:gridSpan w:val="7"/>
                  <w:shd w:val="solid" w:color="008080" w:fill="008080"/>
                  <w:vAlign w:val="center"/>
                </w:tcPr>
                <w:p w14:paraId="278C237F" w14:textId="77777777" w:rsidR="007C5414" w:rsidRPr="000D6AB4" w:rsidRDefault="007C5414" w:rsidP="00153EA0">
                  <w:pPr>
                    <w:pStyle w:val="LLNormal"/>
                    <w:spacing w:line="240" w:lineRule="auto"/>
                    <w:jc w:val="center"/>
                    <w:rPr>
                      <w:rFonts w:asciiTheme="majorHAnsi" w:hAnsiTheme="majorHAnsi"/>
                      <w:sz w:val="14"/>
                      <w:szCs w:val="14"/>
                    </w:rPr>
                  </w:pPr>
                  <w:r w:rsidRPr="000D6AB4">
                    <w:rPr>
                      <w:rFonts w:asciiTheme="majorHAnsi" w:hAnsiTheme="majorHAnsi"/>
                      <w:sz w:val="14"/>
                      <w:szCs w:val="14"/>
                    </w:rPr>
                    <w:t xml:space="preserve">See section 4 </w:t>
                  </w:r>
                </w:p>
              </w:tc>
            </w:tr>
          </w:tbl>
          <w:p w14:paraId="4D038EEB" w14:textId="77777777" w:rsidR="007C5414" w:rsidRPr="00970E78" w:rsidRDefault="007C5414" w:rsidP="00153EA0">
            <w:pPr>
              <w:pStyle w:val="LLNormal"/>
              <w:spacing w:line="240" w:lineRule="auto"/>
              <w:rPr>
                <w:rFonts w:asciiTheme="majorHAnsi" w:hAnsiTheme="majorHAnsi"/>
                <w:szCs w:val="20"/>
              </w:rPr>
            </w:pPr>
          </w:p>
          <w:p w14:paraId="1C8EBC6B" w14:textId="77777777" w:rsidR="007C5414" w:rsidRPr="00970E78" w:rsidRDefault="007C5414" w:rsidP="00153EA0">
            <w:pPr>
              <w:pStyle w:val="LLNormal"/>
              <w:spacing w:line="240" w:lineRule="auto"/>
              <w:rPr>
                <w:rFonts w:asciiTheme="majorHAnsi" w:hAnsiTheme="majorHAnsi"/>
                <w:b/>
                <w:bCs/>
                <w:szCs w:val="20"/>
              </w:rPr>
            </w:pPr>
            <w:bookmarkStart w:id="2" w:name="_cp_change_6"/>
            <w:r w:rsidRPr="00970E78">
              <w:rPr>
                <w:rFonts w:asciiTheme="majorHAnsi" w:hAnsiTheme="majorHAnsi"/>
                <w:b/>
                <w:bCs/>
                <w:color w:val="0000FF"/>
                <w:szCs w:val="20"/>
                <w:u w:val="double" w:color="0000FF"/>
              </w:rPr>
              <w:br w:type="column"/>
            </w:r>
            <w:bookmarkEnd w:id="2"/>
            <w:r w:rsidRPr="00970E78">
              <w:rPr>
                <w:rFonts w:asciiTheme="majorHAnsi" w:hAnsiTheme="majorHAnsi"/>
                <w:b/>
                <w:bCs/>
                <w:szCs w:val="20"/>
              </w:rPr>
              <w:t xml:space="preserve">Section 3 – List of subsidiaries and activities </w:t>
            </w:r>
          </w:p>
          <w:tbl>
            <w:tblPr>
              <w:tblStyle w:val="TableGrid"/>
              <w:tblW w:w="7266" w:type="dxa"/>
              <w:tblLayout w:type="fixed"/>
              <w:tblLook w:val="04A0" w:firstRow="1" w:lastRow="0" w:firstColumn="1" w:lastColumn="0" w:noHBand="0" w:noVBand="1"/>
            </w:tblPr>
            <w:tblGrid>
              <w:gridCol w:w="1395"/>
              <w:gridCol w:w="1166"/>
              <w:gridCol w:w="2888"/>
              <w:gridCol w:w="1817"/>
            </w:tblGrid>
            <w:tr w:rsidR="007C5414" w:rsidRPr="00376599" w14:paraId="75F86084" w14:textId="77777777" w:rsidTr="00376599">
              <w:trPr>
                <w:trHeight w:val="1185"/>
                <w:tblHeader/>
              </w:trPr>
              <w:tc>
                <w:tcPr>
                  <w:tcW w:w="1395" w:type="dxa"/>
                  <w:shd w:val="clear" w:color="auto" w:fill="F3FAFC" w:themeFill="accent1" w:themeFillTint="33"/>
                </w:tcPr>
                <w:p w14:paraId="2ADF0FB1" w14:textId="77777777" w:rsidR="007C5414" w:rsidRPr="00376599" w:rsidRDefault="007C5414" w:rsidP="00153EA0">
                  <w:pPr>
                    <w:pStyle w:val="LLNormal"/>
                    <w:spacing w:line="240" w:lineRule="auto"/>
                    <w:rPr>
                      <w:rFonts w:asciiTheme="majorHAnsi" w:hAnsiTheme="majorHAnsi"/>
                      <w:b/>
                      <w:bCs/>
                      <w:sz w:val="16"/>
                      <w:szCs w:val="16"/>
                    </w:rPr>
                  </w:pPr>
                  <w:r w:rsidRPr="00376599">
                    <w:rPr>
                      <w:rFonts w:asciiTheme="majorHAnsi" w:hAnsiTheme="majorHAnsi"/>
                      <w:b/>
                      <w:bCs/>
                      <w:sz w:val="16"/>
                      <w:szCs w:val="16"/>
                    </w:rPr>
                    <w:t>Member State or tax jurisdiction</w:t>
                  </w:r>
                </w:p>
              </w:tc>
              <w:tc>
                <w:tcPr>
                  <w:tcW w:w="1166" w:type="dxa"/>
                  <w:shd w:val="clear" w:color="auto" w:fill="F3FAFC" w:themeFill="accent1" w:themeFillTint="33"/>
                </w:tcPr>
                <w:p w14:paraId="4A69C354" w14:textId="77777777" w:rsidR="007C5414" w:rsidRPr="00376599" w:rsidRDefault="007C5414" w:rsidP="00153EA0">
                  <w:pPr>
                    <w:pStyle w:val="LLNormal"/>
                    <w:spacing w:line="240" w:lineRule="auto"/>
                    <w:rPr>
                      <w:rFonts w:asciiTheme="majorHAnsi" w:hAnsiTheme="majorHAnsi"/>
                      <w:b/>
                      <w:bCs/>
                      <w:sz w:val="16"/>
                      <w:szCs w:val="16"/>
                    </w:rPr>
                  </w:pPr>
                  <w:r w:rsidRPr="00376599">
                    <w:rPr>
                      <w:rFonts w:asciiTheme="majorHAnsi" w:hAnsiTheme="majorHAnsi"/>
                      <w:b/>
                      <w:bCs/>
                      <w:sz w:val="16"/>
                      <w:szCs w:val="16"/>
                    </w:rPr>
                    <w:t>Country code</w:t>
                  </w:r>
                </w:p>
              </w:tc>
              <w:tc>
                <w:tcPr>
                  <w:tcW w:w="2888" w:type="dxa"/>
                  <w:shd w:val="clear" w:color="auto" w:fill="F3FAFC" w:themeFill="accent1" w:themeFillTint="33"/>
                </w:tcPr>
                <w:p w14:paraId="56775909" w14:textId="77777777" w:rsidR="007C5414" w:rsidRPr="00376599" w:rsidRDefault="007C5414" w:rsidP="00153EA0">
                  <w:pPr>
                    <w:pStyle w:val="LLNormal"/>
                    <w:spacing w:line="240" w:lineRule="auto"/>
                    <w:rPr>
                      <w:rFonts w:asciiTheme="majorHAnsi" w:hAnsiTheme="majorHAnsi"/>
                      <w:b/>
                      <w:bCs/>
                      <w:sz w:val="16"/>
                      <w:szCs w:val="16"/>
                    </w:rPr>
                  </w:pPr>
                  <w:r w:rsidRPr="00376599">
                    <w:rPr>
                      <w:rFonts w:asciiTheme="majorHAnsi" w:hAnsiTheme="majorHAnsi"/>
                      <w:b/>
                      <w:bCs/>
                      <w:sz w:val="16"/>
                      <w:szCs w:val="16"/>
                    </w:rPr>
                    <w:t>Name of each subsidiary undertaking in the Member State or tax jurisdiction</w:t>
                  </w:r>
                </w:p>
              </w:tc>
              <w:tc>
                <w:tcPr>
                  <w:tcW w:w="1817" w:type="dxa"/>
                  <w:shd w:val="clear" w:color="auto" w:fill="F3FAFC" w:themeFill="accent1" w:themeFillTint="33"/>
                </w:tcPr>
                <w:p w14:paraId="3B9FA136" w14:textId="77777777" w:rsidR="007C5414" w:rsidRPr="00376599" w:rsidRDefault="007C5414" w:rsidP="00153EA0">
                  <w:pPr>
                    <w:pStyle w:val="LLNormal"/>
                    <w:spacing w:line="240" w:lineRule="auto"/>
                    <w:rPr>
                      <w:rFonts w:asciiTheme="majorHAnsi" w:hAnsiTheme="majorHAnsi"/>
                      <w:b/>
                      <w:bCs/>
                      <w:sz w:val="16"/>
                      <w:szCs w:val="16"/>
                    </w:rPr>
                  </w:pPr>
                  <w:r w:rsidRPr="00376599">
                    <w:rPr>
                      <w:rFonts w:asciiTheme="majorHAnsi" w:hAnsiTheme="majorHAnsi"/>
                      <w:b/>
                      <w:bCs/>
                      <w:sz w:val="16"/>
                      <w:szCs w:val="16"/>
                    </w:rPr>
                    <w:t>Brief description of the nature of activities in the Member State or tax jurisdiction</w:t>
                  </w:r>
                </w:p>
              </w:tc>
            </w:tr>
            <w:tr w:rsidR="007C5414" w:rsidRPr="00376599" w14:paraId="33B74677" w14:textId="77777777" w:rsidTr="00376599">
              <w:trPr>
                <w:trHeight w:val="581"/>
              </w:trPr>
              <w:tc>
                <w:tcPr>
                  <w:tcW w:w="1395" w:type="dxa"/>
                  <w:shd w:val="clear" w:color="auto" w:fill="auto"/>
                </w:tcPr>
                <w:p w14:paraId="549BA83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 w:name="_cp_change_17"/>
                  <w:r w:rsidRPr="00376599">
                    <w:rPr>
                      <w:rFonts w:asciiTheme="majorHAnsi" w:hAnsiTheme="majorHAnsi"/>
                      <w:color w:val="231F20" w:themeColor="text1"/>
                      <w:sz w:val="16"/>
                      <w:szCs w:val="16"/>
                    </w:rPr>
                    <w:t>Austria</w:t>
                  </w:r>
                </w:p>
              </w:tc>
              <w:tc>
                <w:tcPr>
                  <w:tcW w:w="1166" w:type="dxa"/>
                  <w:shd w:val="clear" w:color="auto" w:fill="auto"/>
                </w:tcPr>
                <w:p w14:paraId="7291B812"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AT</w:t>
                  </w:r>
                </w:p>
              </w:tc>
              <w:tc>
                <w:tcPr>
                  <w:tcW w:w="2888" w:type="dxa"/>
                  <w:shd w:val="clear" w:color="auto" w:fill="auto"/>
                  <w:vAlign w:val="bottom"/>
                </w:tcPr>
                <w:p w14:paraId="5B4F862B"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Austria GmbH.</w:t>
                  </w:r>
                </w:p>
              </w:tc>
              <w:tc>
                <w:tcPr>
                  <w:tcW w:w="1817" w:type="dxa"/>
                  <w:shd w:val="clear" w:color="auto" w:fill="auto"/>
                </w:tcPr>
                <w:p w14:paraId="14DB14BD"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43B47CFE" w14:textId="77777777" w:rsidTr="00376599">
              <w:trPr>
                <w:trHeight w:val="602"/>
              </w:trPr>
              <w:tc>
                <w:tcPr>
                  <w:tcW w:w="1395" w:type="dxa"/>
                  <w:vMerge w:val="restart"/>
                  <w:shd w:val="clear" w:color="auto" w:fill="auto"/>
                </w:tcPr>
                <w:p w14:paraId="191718B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4" w:name="_cp_change_26"/>
                  <w:bookmarkEnd w:id="3"/>
                  <w:r w:rsidRPr="00376599">
                    <w:rPr>
                      <w:rFonts w:asciiTheme="majorHAnsi" w:hAnsiTheme="majorHAnsi"/>
                      <w:color w:val="231F20" w:themeColor="text1"/>
                      <w:sz w:val="16"/>
                      <w:szCs w:val="16"/>
                    </w:rPr>
                    <w:t>Belgium</w:t>
                  </w:r>
                </w:p>
              </w:tc>
              <w:tc>
                <w:tcPr>
                  <w:tcW w:w="1166" w:type="dxa"/>
                  <w:vMerge w:val="restart"/>
                  <w:shd w:val="clear" w:color="auto" w:fill="auto"/>
                </w:tcPr>
                <w:p w14:paraId="261C54B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BE</w:t>
                  </w:r>
                </w:p>
              </w:tc>
              <w:tc>
                <w:tcPr>
                  <w:tcW w:w="2888" w:type="dxa"/>
                  <w:shd w:val="clear" w:color="auto" w:fill="auto"/>
                  <w:vAlign w:val="bottom"/>
                </w:tcPr>
                <w:p w14:paraId="27EAAC5A"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Belgium S.A./N.V.</w:t>
                  </w:r>
                </w:p>
              </w:tc>
              <w:tc>
                <w:tcPr>
                  <w:tcW w:w="1817" w:type="dxa"/>
                  <w:vMerge w:val="restart"/>
                  <w:shd w:val="clear" w:color="auto" w:fill="auto"/>
                </w:tcPr>
                <w:p w14:paraId="70E2B130"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1DC79A22" w14:textId="77777777" w:rsidTr="00376599">
              <w:trPr>
                <w:trHeight w:val="143"/>
              </w:trPr>
              <w:tc>
                <w:tcPr>
                  <w:tcW w:w="1395" w:type="dxa"/>
                  <w:vMerge/>
                  <w:shd w:val="clear" w:color="auto" w:fill="auto"/>
                </w:tcPr>
                <w:p w14:paraId="7E2BEE2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5" w:name="_cp_change_32"/>
                  <w:bookmarkEnd w:id="4"/>
                </w:p>
              </w:tc>
              <w:tc>
                <w:tcPr>
                  <w:tcW w:w="1166" w:type="dxa"/>
                  <w:vMerge/>
                  <w:shd w:val="clear" w:color="auto" w:fill="auto"/>
                </w:tcPr>
                <w:p w14:paraId="765CD5E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62875A3B"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BELGIUM Distribution S.A./N.V.</w:t>
                  </w:r>
                </w:p>
              </w:tc>
              <w:tc>
                <w:tcPr>
                  <w:tcW w:w="1817" w:type="dxa"/>
                  <w:vMerge/>
                  <w:shd w:val="clear" w:color="auto" w:fill="auto"/>
                </w:tcPr>
                <w:p w14:paraId="7D9D7CB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31097D56" w14:textId="77777777" w:rsidTr="00376599">
              <w:trPr>
                <w:trHeight w:val="602"/>
              </w:trPr>
              <w:tc>
                <w:tcPr>
                  <w:tcW w:w="1395" w:type="dxa"/>
                  <w:shd w:val="clear" w:color="auto" w:fill="auto"/>
                </w:tcPr>
                <w:p w14:paraId="0D70CFD0"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6" w:name="_cp_change_41"/>
                  <w:bookmarkEnd w:id="5"/>
                  <w:r w:rsidRPr="00376599">
                    <w:rPr>
                      <w:rFonts w:asciiTheme="majorHAnsi" w:hAnsiTheme="majorHAnsi"/>
                      <w:color w:val="231F20" w:themeColor="text1"/>
                      <w:sz w:val="16"/>
                      <w:szCs w:val="16"/>
                    </w:rPr>
                    <w:lastRenderedPageBreak/>
                    <w:t>Croatia</w:t>
                  </w:r>
                </w:p>
              </w:tc>
              <w:tc>
                <w:tcPr>
                  <w:tcW w:w="1166" w:type="dxa"/>
                  <w:shd w:val="clear" w:color="auto" w:fill="auto"/>
                </w:tcPr>
                <w:p w14:paraId="3BE120A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HR</w:t>
                  </w:r>
                </w:p>
              </w:tc>
              <w:tc>
                <w:tcPr>
                  <w:tcW w:w="2888" w:type="dxa"/>
                  <w:shd w:val="clear" w:color="auto" w:fill="auto"/>
                  <w:vAlign w:val="bottom"/>
                </w:tcPr>
                <w:p w14:paraId="46AE6216"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Croatia </w:t>
                  </w:r>
                  <w:proofErr w:type="spellStart"/>
                  <w:r w:rsidRPr="00376599">
                    <w:rPr>
                      <w:rFonts w:asciiTheme="majorHAnsi" w:hAnsiTheme="majorHAnsi" w:cs="Arial"/>
                      <w:color w:val="231F20" w:themeColor="text1"/>
                      <w:sz w:val="16"/>
                      <w:szCs w:val="16"/>
                    </w:rPr>
                    <w:t>d.o.o</w:t>
                  </w:r>
                  <w:proofErr w:type="spellEnd"/>
                  <w:r w:rsidRPr="00376599">
                    <w:rPr>
                      <w:rFonts w:asciiTheme="majorHAnsi" w:hAnsiTheme="majorHAnsi" w:cs="Arial"/>
                      <w:color w:val="231F20" w:themeColor="text1"/>
                      <w:sz w:val="16"/>
                      <w:szCs w:val="16"/>
                    </w:rPr>
                    <w:t xml:space="preserve"> </w:t>
                  </w:r>
                </w:p>
              </w:tc>
              <w:tc>
                <w:tcPr>
                  <w:tcW w:w="1817" w:type="dxa"/>
                  <w:shd w:val="clear" w:color="auto" w:fill="auto"/>
                </w:tcPr>
                <w:p w14:paraId="2AF5C168"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080C975E" w14:textId="77777777" w:rsidTr="00376599">
              <w:trPr>
                <w:trHeight w:val="581"/>
              </w:trPr>
              <w:tc>
                <w:tcPr>
                  <w:tcW w:w="1395" w:type="dxa"/>
                  <w:shd w:val="clear" w:color="auto" w:fill="auto"/>
                </w:tcPr>
                <w:p w14:paraId="541A1BD1"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7" w:name="_cp_change_50"/>
                  <w:bookmarkEnd w:id="6"/>
                  <w:r w:rsidRPr="00376599">
                    <w:rPr>
                      <w:rFonts w:asciiTheme="majorHAnsi" w:hAnsiTheme="majorHAnsi"/>
                      <w:color w:val="231F20" w:themeColor="text1"/>
                      <w:sz w:val="16"/>
                      <w:szCs w:val="16"/>
                    </w:rPr>
                    <w:t>Czech Republic</w:t>
                  </w:r>
                </w:p>
              </w:tc>
              <w:tc>
                <w:tcPr>
                  <w:tcW w:w="1166" w:type="dxa"/>
                  <w:shd w:val="clear" w:color="auto" w:fill="auto"/>
                </w:tcPr>
                <w:p w14:paraId="08A9F70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CZ</w:t>
                  </w:r>
                </w:p>
              </w:tc>
              <w:tc>
                <w:tcPr>
                  <w:tcW w:w="2888" w:type="dxa"/>
                  <w:shd w:val="clear" w:color="auto" w:fill="auto"/>
                  <w:vAlign w:val="bottom"/>
                </w:tcPr>
                <w:p w14:paraId="7B76495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Czech Republic </w:t>
                  </w:r>
                  <w:proofErr w:type="spellStart"/>
                  <w:r w:rsidRPr="00376599">
                    <w:rPr>
                      <w:rFonts w:asciiTheme="majorHAnsi" w:hAnsiTheme="majorHAnsi" w:cs="Arial"/>
                      <w:color w:val="231F20" w:themeColor="text1"/>
                      <w:sz w:val="16"/>
                      <w:szCs w:val="16"/>
                    </w:rPr>
                    <w:t>s.r.o.</w:t>
                  </w:r>
                  <w:proofErr w:type="spellEnd"/>
                </w:p>
              </w:tc>
              <w:tc>
                <w:tcPr>
                  <w:tcW w:w="1817" w:type="dxa"/>
                  <w:shd w:val="clear" w:color="auto" w:fill="auto"/>
                </w:tcPr>
                <w:p w14:paraId="03E8763C"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3CEC3AB5" w14:textId="77777777" w:rsidTr="00376599">
              <w:trPr>
                <w:trHeight w:val="415"/>
              </w:trPr>
              <w:tc>
                <w:tcPr>
                  <w:tcW w:w="1395" w:type="dxa"/>
                  <w:vMerge w:val="restart"/>
                  <w:shd w:val="clear" w:color="auto" w:fill="auto"/>
                </w:tcPr>
                <w:p w14:paraId="6617B422"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8" w:name="_cp_change_59"/>
                  <w:bookmarkEnd w:id="7"/>
                  <w:r w:rsidRPr="00376599">
                    <w:rPr>
                      <w:rFonts w:asciiTheme="majorHAnsi" w:hAnsiTheme="majorHAnsi"/>
                      <w:color w:val="231F20" w:themeColor="text1"/>
                      <w:sz w:val="16"/>
                      <w:szCs w:val="16"/>
                    </w:rPr>
                    <w:t>Denmark</w:t>
                  </w:r>
                </w:p>
              </w:tc>
              <w:tc>
                <w:tcPr>
                  <w:tcW w:w="1166" w:type="dxa"/>
                  <w:vMerge w:val="restart"/>
                  <w:shd w:val="clear" w:color="auto" w:fill="auto"/>
                </w:tcPr>
                <w:p w14:paraId="3666650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DK</w:t>
                  </w:r>
                </w:p>
              </w:tc>
              <w:tc>
                <w:tcPr>
                  <w:tcW w:w="2888" w:type="dxa"/>
                  <w:shd w:val="clear" w:color="auto" w:fill="auto"/>
                  <w:vAlign w:val="bottom"/>
                </w:tcPr>
                <w:p w14:paraId="113E8DDF"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Denmark A/S</w:t>
                  </w:r>
                </w:p>
              </w:tc>
              <w:tc>
                <w:tcPr>
                  <w:tcW w:w="1817" w:type="dxa"/>
                  <w:vMerge w:val="restart"/>
                  <w:shd w:val="clear" w:color="auto" w:fill="auto"/>
                </w:tcPr>
                <w:p w14:paraId="27D54CB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3B030D36" w14:textId="77777777" w:rsidTr="00376599">
              <w:trPr>
                <w:trHeight w:val="143"/>
              </w:trPr>
              <w:tc>
                <w:tcPr>
                  <w:tcW w:w="1395" w:type="dxa"/>
                  <w:vMerge/>
                  <w:shd w:val="clear" w:color="auto" w:fill="auto"/>
                </w:tcPr>
                <w:p w14:paraId="4D94F6C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9" w:name="_cp_change_65"/>
                  <w:bookmarkEnd w:id="8"/>
                </w:p>
              </w:tc>
              <w:tc>
                <w:tcPr>
                  <w:tcW w:w="1166" w:type="dxa"/>
                  <w:vMerge/>
                  <w:shd w:val="clear" w:color="auto" w:fill="auto"/>
                </w:tcPr>
                <w:p w14:paraId="66CB7BD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275AE19D"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Express A/S</w:t>
                  </w:r>
                </w:p>
              </w:tc>
              <w:tc>
                <w:tcPr>
                  <w:tcW w:w="1817" w:type="dxa"/>
                  <w:vMerge/>
                  <w:shd w:val="clear" w:color="auto" w:fill="auto"/>
                </w:tcPr>
                <w:p w14:paraId="648E1D3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15E59BA0" w14:textId="77777777" w:rsidTr="00376599">
              <w:trPr>
                <w:trHeight w:val="602"/>
              </w:trPr>
              <w:tc>
                <w:tcPr>
                  <w:tcW w:w="1395" w:type="dxa"/>
                  <w:shd w:val="clear" w:color="auto" w:fill="auto"/>
                </w:tcPr>
                <w:p w14:paraId="7F1EA8B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0" w:name="_cp_change_74"/>
                  <w:bookmarkEnd w:id="9"/>
                  <w:r w:rsidRPr="00376599">
                    <w:rPr>
                      <w:rFonts w:asciiTheme="majorHAnsi" w:hAnsiTheme="majorHAnsi"/>
                      <w:color w:val="231F20" w:themeColor="text1"/>
                      <w:sz w:val="16"/>
                      <w:szCs w:val="16"/>
                    </w:rPr>
                    <w:t>Finland</w:t>
                  </w:r>
                </w:p>
              </w:tc>
              <w:tc>
                <w:tcPr>
                  <w:tcW w:w="1166" w:type="dxa"/>
                  <w:shd w:val="clear" w:color="auto" w:fill="auto"/>
                </w:tcPr>
                <w:p w14:paraId="563BFF2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FI</w:t>
                  </w:r>
                </w:p>
              </w:tc>
              <w:tc>
                <w:tcPr>
                  <w:tcW w:w="2888" w:type="dxa"/>
                  <w:shd w:val="clear" w:color="auto" w:fill="auto"/>
                  <w:vAlign w:val="bottom"/>
                </w:tcPr>
                <w:p w14:paraId="56B84053"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Finland Oy</w:t>
                  </w:r>
                </w:p>
              </w:tc>
              <w:tc>
                <w:tcPr>
                  <w:tcW w:w="1817" w:type="dxa"/>
                  <w:shd w:val="clear" w:color="auto" w:fill="auto"/>
                </w:tcPr>
                <w:p w14:paraId="7588A31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46052D2A" w14:textId="77777777" w:rsidTr="00376599">
              <w:trPr>
                <w:trHeight w:val="395"/>
              </w:trPr>
              <w:tc>
                <w:tcPr>
                  <w:tcW w:w="1395" w:type="dxa"/>
                  <w:vMerge w:val="restart"/>
                  <w:shd w:val="clear" w:color="auto" w:fill="auto"/>
                </w:tcPr>
                <w:p w14:paraId="248FFCC1"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1" w:name="_cp_change_83"/>
                  <w:bookmarkEnd w:id="10"/>
                  <w:r w:rsidRPr="00376599">
                    <w:rPr>
                      <w:rFonts w:asciiTheme="majorHAnsi" w:hAnsiTheme="majorHAnsi"/>
                      <w:color w:val="231F20" w:themeColor="text1"/>
                      <w:sz w:val="16"/>
                      <w:szCs w:val="16"/>
                    </w:rPr>
                    <w:t>France</w:t>
                  </w:r>
                </w:p>
              </w:tc>
              <w:tc>
                <w:tcPr>
                  <w:tcW w:w="1166" w:type="dxa"/>
                  <w:vMerge w:val="restart"/>
                  <w:shd w:val="clear" w:color="auto" w:fill="auto"/>
                </w:tcPr>
                <w:p w14:paraId="42E0315C"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FR</w:t>
                  </w:r>
                </w:p>
              </w:tc>
              <w:tc>
                <w:tcPr>
                  <w:tcW w:w="2888" w:type="dxa"/>
                  <w:shd w:val="clear" w:color="auto" w:fill="auto"/>
                  <w:vAlign w:val="bottom"/>
                </w:tcPr>
                <w:p w14:paraId="2DD26792"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France S.A.S.</w:t>
                  </w:r>
                </w:p>
              </w:tc>
              <w:tc>
                <w:tcPr>
                  <w:tcW w:w="1817" w:type="dxa"/>
                  <w:vMerge w:val="restart"/>
                  <w:shd w:val="clear" w:color="auto" w:fill="auto"/>
                </w:tcPr>
                <w:p w14:paraId="7BDC1B0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 / Holding Shares or Other Equity instruments</w:t>
                  </w:r>
                </w:p>
              </w:tc>
            </w:tr>
            <w:tr w:rsidR="007C5414" w:rsidRPr="00376599" w14:paraId="6CDE8C30" w14:textId="77777777" w:rsidTr="00376599">
              <w:trPr>
                <w:trHeight w:val="143"/>
              </w:trPr>
              <w:tc>
                <w:tcPr>
                  <w:tcW w:w="1395" w:type="dxa"/>
                  <w:vMerge/>
                  <w:shd w:val="clear" w:color="auto" w:fill="auto"/>
                </w:tcPr>
                <w:p w14:paraId="4FA26D7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2" w:name="_cp_change_89"/>
                  <w:bookmarkEnd w:id="11"/>
                </w:p>
              </w:tc>
              <w:tc>
                <w:tcPr>
                  <w:tcW w:w="1166" w:type="dxa"/>
                  <w:vMerge/>
                  <w:shd w:val="clear" w:color="auto" w:fill="auto"/>
                </w:tcPr>
                <w:p w14:paraId="254E337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44192FC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lang w:val="fr-FR"/>
                    </w:rPr>
                  </w:pPr>
                  <w:r w:rsidRPr="00376599">
                    <w:rPr>
                      <w:rFonts w:asciiTheme="majorHAnsi" w:hAnsiTheme="majorHAnsi" w:cs="Arial"/>
                      <w:color w:val="231F20" w:themeColor="text1"/>
                      <w:sz w:val="16"/>
                      <w:szCs w:val="16"/>
                      <w:lang w:val="fr-FR"/>
                    </w:rPr>
                    <w:t>GLS Invest France S.</w:t>
                  </w:r>
                  <w:proofErr w:type="gramStart"/>
                  <w:r w:rsidRPr="00376599">
                    <w:rPr>
                      <w:rFonts w:asciiTheme="majorHAnsi" w:hAnsiTheme="majorHAnsi" w:cs="Arial"/>
                      <w:color w:val="231F20" w:themeColor="text1"/>
                      <w:sz w:val="16"/>
                      <w:szCs w:val="16"/>
                      <w:lang w:val="fr-FR"/>
                    </w:rPr>
                    <w:t>A.S</w:t>
                  </w:r>
                  <w:proofErr w:type="gramEnd"/>
                </w:p>
              </w:tc>
              <w:tc>
                <w:tcPr>
                  <w:tcW w:w="1817" w:type="dxa"/>
                  <w:vMerge/>
                  <w:shd w:val="clear" w:color="auto" w:fill="auto"/>
                </w:tcPr>
                <w:p w14:paraId="154AAD14"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fr-FR"/>
                    </w:rPr>
                  </w:pPr>
                </w:p>
              </w:tc>
            </w:tr>
            <w:tr w:rsidR="007C5414" w:rsidRPr="00376599" w14:paraId="018C6D6C" w14:textId="77777777" w:rsidTr="00376599">
              <w:trPr>
                <w:trHeight w:val="143"/>
              </w:trPr>
              <w:tc>
                <w:tcPr>
                  <w:tcW w:w="1395" w:type="dxa"/>
                  <w:vMerge/>
                  <w:shd w:val="clear" w:color="auto" w:fill="auto"/>
                </w:tcPr>
                <w:p w14:paraId="30B508EC"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fr-FR"/>
                    </w:rPr>
                  </w:pPr>
                  <w:bookmarkStart w:id="13" w:name="_cp_change_95"/>
                  <w:bookmarkEnd w:id="12"/>
                </w:p>
              </w:tc>
              <w:tc>
                <w:tcPr>
                  <w:tcW w:w="1166" w:type="dxa"/>
                  <w:vMerge/>
                  <w:shd w:val="clear" w:color="auto" w:fill="auto"/>
                </w:tcPr>
                <w:p w14:paraId="2C240666"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fr-FR"/>
                    </w:rPr>
                  </w:pPr>
                </w:p>
              </w:tc>
              <w:tc>
                <w:tcPr>
                  <w:tcW w:w="2888" w:type="dxa"/>
                  <w:shd w:val="clear" w:color="auto" w:fill="auto"/>
                  <w:vAlign w:val="bottom"/>
                </w:tcPr>
                <w:p w14:paraId="7D164786"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proofErr w:type="spellStart"/>
                  <w:r w:rsidRPr="00376599">
                    <w:rPr>
                      <w:rFonts w:asciiTheme="majorHAnsi" w:hAnsiTheme="majorHAnsi" w:cs="Arial"/>
                      <w:color w:val="231F20" w:themeColor="text1"/>
                      <w:sz w:val="16"/>
                      <w:szCs w:val="16"/>
                    </w:rPr>
                    <w:t>Tousfacteurs</w:t>
                  </w:r>
                  <w:proofErr w:type="spellEnd"/>
                  <w:r w:rsidRPr="00376599">
                    <w:rPr>
                      <w:rFonts w:asciiTheme="majorHAnsi" w:hAnsiTheme="majorHAnsi" w:cs="Arial"/>
                      <w:color w:val="231F20" w:themeColor="text1"/>
                      <w:sz w:val="16"/>
                      <w:szCs w:val="16"/>
                    </w:rPr>
                    <w:t xml:space="preserve"> SAS</w:t>
                  </w:r>
                </w:p>
              </w:tc>
              <w:tc>
                <w:tcPr>
                  <w:tcW w:w="1817" w:type="dxa"/>
                  <w:vMerge/>
                  <w:shd w:val="clear" w:color="auto" w:fill="auto"/>
                </w:tcPr>
                <w:p w14:paraId="5AC2E30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5CC4A46F" w14:textId="77777777" w:rsidTr="00376599">
              <w:trPr>
                <w:trHeight w:val="395"/>
              </w:trPr>
              <w:tc>
                <w:tcPr>
                  <w:tcW w:w="1395" w:type="dxa"/>
                  <w:vMerge w:val="restart"/>
                  <w:shd w:val="clear" w:color="auto" w:fill="auto"/>
                </w:tcPr>
                <w:p w14:paraId="034E6E9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4" w:name="_cp_change_104"/>
                  <w:bookmarkEnd w:id="13"/>
                  <w:r w:rsidRPr="00376599">
                    <w:rPr>
                      <w:rFonts w:asciiTheme="majorHAnsi" w:hAnsiTheme="majorHAnsi"/>
                      <w:color w:val="231F20" w:themeColor="text1"/>
                      <w:sz w:val="16"/>
                      <w:szCs w:val="16"/>
                    </w:rPr>
                    <w:t>Germany</w:t>
                  </w:r>
                </w:p>
              </w:tc>
              <w:tc>
                <w:tcPr>
                  <w:tcW w:w="1166" w:type="dxa"/>
                  <w:vMerge w:val="restart"/>
                  <w:shd w:val="clear" w:color="auto" w:fill="auto"/>
                </w:tcPr>
                <w:p w14:paraId="72F5BD6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DE</w:t>
                  </w:r>
                </w:p>
              </w:tc>
              <w:tc>
                <w:tcPr>
                  <w:tcW w:w="2888" w:type="dxa"/>
                  <w:shd w:val="clear" w:color="auto" w:fill="auto"/>
                  <w:vAlign w:val="bottom"/>
                </w:tcPr>
                <w:p w14:paraId="5870B56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DER KURIER </w:t>
                  </w:r>
                  <w:proofErr w:type="spellStart"/>
                  <w:r w:rsidRPr="00376599">
                    <w:rPr>
                      <w:rFonts w:asciiTheme="majorHAnsi" w:hAnsiTheme="majorHAnsi" w:cs="Arial"/>
                      <w:color w:val="231F20" w:themeColor="text1"/>
                      <w:sz w:val="16"/>
                      <w:szCs w:val="16"/>
                    </w:rPr>
                    <w:t>Beteiligungs</w:t>
                  </w:r>
                  <w:proofErr w:type="spellEnd"/>
                  <w:r w:rsidRPr="00376599">
                    <w:rPr>
                      <w:rFonts w:asciiTheme="majorHAnsi" w:hAnsiTheme="majorHAnsi" w:cs="Arial"/>
                      <w:color w:val="231F20" w:themeColor="text1"/>
                      <w:sz w:val="16"/>
                      <w:szCs w:val="16"/>
                    </w:rPr>
                    <w:t xml:space="preserve"> GmbH</w:t>
                  </w:r>
                </w:p>
              </w:tc>
              <w:tc>
                <w:tcPr>
                  <w:tcW w:w="1817" w:type="dxa"/>
                  <w:vMerge w:val="restart"/>
                  <w:shd w:val="clear" w:color="auto" w:fill="auto"/>
                </w:tcPr>
                <w:p w14:paraId="76EC27ED"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Holding or Managing Intellectual Property / Administrative, Management or Support Services / Provision of Services to Unrelated Parties / Holding Shares or Other Equity instruments</w:t>
                  </w:r>
                </w:p>
              </w:tc>
            </w:tr>
            <w:tr w:rsidR="007C5414" w:rsidRPr="00376599" w14:paraId="4B676860" w14:textId="77777777" w:rsidTr="00376599">
              <w:trPr>
                <w:trHeight w:val="143"/>
              </w:trPr>
              <w:tc>
                <w:tcPr>
                  <w:tcW w:w="1395" w:type="dxa"/>
                  <w:vMerge/>
                  <w:shd w:val="clear" w:color="auto" w:fill="auto"/>
                </w:tcPr>
                <w:p w14:paraId="7EE5218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5" w:name="_cp_change_110"/>
                  <w:bookmarkEnd w:id="14"/>
                </w:p>
              </w:tc>
              <w:tc>
                <w:tcPr>
                  <w:tcW w:w="1166" w:type="dxa"/>
                  <w:vMerge/>
                  <w:shd w:val="clear" w:color="auto" w:fill="auto"/>
                </w:tcPr>
                <w:p w14:paraId="3744CEED"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65C336A2"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Germany GmbH &amp; Co. OHG</w:t>
                  </w:r>
                </w:p>
              </w:tc>
              <w:tc>
                <w:tcPr>
                  <w:tcW w:w="1817" w:type="dxa"/>
                  <w:vMerge/>
                  <w:shd w:val="clear" w:color="auto" w:fill="auto"/>
                </w:tcPr>
                <w:p w14:paraId="0D13CB35"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662ED153" w14:textId="77777777" w:rsidTr="00376599">
              <w:trPr>
                <w:trHeight w:val="143"/>
              </w:trPr>
              <w:tc>
                <w:tcPr>
                  <w:tcW w:w="1395" w:type="dxa"/>
                  <w:vMerge/>
                  <w:shd w:val="clear" w:color="auto" w:fill="auto"/>
                </w:tcPr>
                <w:p w14:paraId="591C069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6" w:name="_cp_change_116"/>
                  <w:bookmarkEnd w:id="15"/>
                </w:p>
              </w:tc>
              <w:tc>
                <w:tcPr>
                  <w:tcW w:w="1166" w:type="dxa"/>
                  <w:vMerge/>
                  <w:shd w:val="clear" w:color="auto" w:fill="auto"/>
                </w:tcPr>
                <w:p w14:paraId="23358EEC"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58B8B2D3"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w:t>
                  </w:r>
                  <w:proofErr w:type="spellStart"/>
                  <w:r w:rsidRPr="00376599">
                    <w:rPr>
                      <w:rFonts w:asciiTheme="majorHAnsi" w:hAnsiTheme="majorHAnsi" w:cs="Arial"/>
                      <w:color w:val="231F20" w:themeColor="text1"/>
                      <w:sz w:val="16"/>
                      <w:szCs w:val="16"/>
                    </w:rPr>
                    <w:t>Beteiligungs</w:t>
                  </w:r>
                  <w:proofErr w:type="spellEnd"/>
                  <w:r w:rsidRPr="00376599">
                    <w:rPr>
                      <w:rFonts w:asciiTheme="majorHAnsi" w:hAnsiTheme="majorHAnsi" w:cs="Arial"/>
                      <w:color w:val="231F20" w:themeColor="text1"/>
                      <w:sz w:val="16"/>
                      <w:szCs w:val="16"/>
                    </w:rPr>
                    <w:t xml:space="preserve"> GmbH</w:t>
                  </w:r>
                </w:p>
              </w:tc>
              <w:tc>
                <w:tcPr>
                  <w:tcW w:w="1817" w:type="dxa"/>
                  <w:vMerge/>
                  <w:shd w:val="clear" w:color="auto" w:fill="auto"/>
                </w:tcPr>
                <w:p w14:paraId="40B1203E"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503021C9" w14:textId="77777777" w:rsidTr="00376599">
              <w:trPr>
                <w:trHeight w:val="143"/>
              </w:trPr>
              <w:tc>
                <w:tcPr>
                  <w:tcW w:w="1395" w:type="dxa"/>
                  <w:vMerge/>
                  <w:shd w:val="clear" w:color="auto" w:fill="auto"/>
                </w:tcPr>
                <w:p w14:paraId="2D213F1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7" w:name="_cp_change_122"/>
                  <w:bookmarkEnd w:id="16"/>
                </w:p>
              </w:tc>
              <w:tc>
                <w:tcPr>
                  <w:tcW w:w="1166" w:type="dxa"/>
                  <w:vMerge/>
                  <w:shd w:val="clear" w:color="auto" w:fill="auto"/>
                </w:tcPr>
                <w:p w14:paraId="6F7DF1F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4DB8EC7F"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w:t>
                  </w:r>
                  <w:proofErr w:type="spellStart"/>
                  <w:r w:rsidRPr="00376599">
                    <w:rPr>
                      <w:rFonts w:asciiTheme="majorHAnsi" w:hAnsiTheme="majorHAnsi" w:cs="Arial"/>
                      <w:color w:val="231F20" w:themeColor="text1"/>
                      <w:sz w:val="16"/>
                      <w:szCs w:val="16"/>
                    </w:rPr>
                    <w:t>eCom</w:t>
                  </w:r>
                  <w:proofErr w:type="spellEnd"/>
                  <w:r w:rsidRPr="00376599">
                    <w:rPr>
                      <w:rFonts w:asciiTheme="majorHAnsi" w:hAnsiTheme="majorHAnsi" w:cs="Arial"/>
                      <w:color w:val="231F20" w:themeColor="text1"/>
                      <w:sz w:val="16"/>
                      <w:szCs w:val="16"/>
                    </w:rPr>
                    <w:t xml:space="preserve"> Lab GmbH</w:t>
                  </w:r>
                </w:p>
              </w:tc>
              <w:tc>
                <w:tcPr>
                  <w:tcW w:w="1817" w:type="dxa"/>
                  <w:vMerge/>
                  <w:shd w:val="clear" w:color="auto" w:fill="auto"/>
                </w:tcPr>
                <w:p w14:paraId="4A559489"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3538E212" w14:textId="77777777" w:rsidTr="00376599">
              <w:trPr>
                <w:trHeight w:val="143"/>
              </w:trPr>
              <w:tc>
                <w:tcPr>
                  <w:tcW w:w="1395" w:type="dxa"/>
                  <w:vMerge/>
                  <w:shd w:val="clear" w:color="auto" w:fill="auto"/>
                </w:tcPr>
                <w:p w14:paraId="618D09F0"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8" w:name="_cp_change_128"/>
                  <w:bookmarkEnd w:id="17"/>
                </w:p>
              </w:tc>
              <w:tc>
                <w:tcPr>
                  <w:tcW w:w="1166" w:type="dxa"/>
                  <w:vMerge/>
                  <w:shd w:val="clear" w:color="auto" w:fill="auto"/>
                </w:tcPr>
                <w:p w14:paraId="7AC327EE"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2BDFDD4F"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IT Services GmbH</w:t>
                  </w:r>
                </w:p>
              </w:tc>
              <w:tc>
                <w:tcPr>
                  <w:tcW w:w="1817" w:type="dxa"/>
                  <w:vMerge/>
                  <w:shd w:val="clear" w:color="auto" w:fill="auto"/>
                </w:tcPr>
                <w:p w14:paraId="4639DF50"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788FD0A9" w14:textId="77777777" w:rsidTr="00376599">
              <w:trPr>
                <w:trHeight w:val="143"/>
              </w:trPr>
              <w:tc>
                <w:tcPr>
                  <w:tcW w:w="1395" w:type="dxa"/>
                  <w:vMerge/>
                  <w:shd w:val="clear" w:color="auto" w:fill="auto"/>
                </w:tcPr>
                <w:p w14:paraId="6245967E"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19" w:name="_cp_change_134"/>
                  <w:bookmarkEnd w:id="18"/>
                </w:p>
              </w:tc>
              <w:tc>
                <w:tcPr>
                  <w:tcW w:w="1166" w:type="dxa"/>
                  <w:vMerge/>
                  <w:shd w:val="clear" w:color="auto" w:fill="auto"/>
                </w:tcPr>
                <w:p w14:paraId="22AB4454"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1F691B3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lang w:val="de-DE"/>
                    </w:rPr>
                  </w:pPr>
                  <w:r w:rsidRPr="00376599">
                    <w:rPr>
                      <w:rFonts w:asciiTheme="majorHAnsi" w:hAnsiTheme="majorHAnsi" w:cs="Arial"/>
                      <w:color w:val="231F20" w:themeColor="text1"/>
                      <w:sz w:val="16"/>
                      <w:szCs w:val="16"/>
                      <w:lang w:val="de-DE"/>
                    </w:rPr>
                    <w:t>GLS Verwaltungs- und Services GmbH</w:t>
                  </w:r>
                </w:p>
              </w:tc>
              <w:tc>
                <w:tcPr>
                  <w:tcW w:w="1817" w:type="dxa"/>
                  <w:vMerge/>
                  <w:shd w:val="clear" w:color="auto" w:fill="auto"/>
                </w:tcPr>
                <w:p w14:paraId="1E45D883"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de-DE"/>
                    </w:rPr>
                  </w:pPr>
                </w:p>
              </w:tc>
            </w:tr>
            <w:tr w:rsidR="007C5414" w:rsidRPr="00376599" w14:paraId="616875BB" w14:textId="77777777" w:rsidTr="00376599">
              <w:trPr>
                <w:trHeight w:val="143"/>
              </w:trPr>
              <w:tc>
                <w:tcPr>
                  <w:tcW w:w="1395" w:type="dxa"/>
                  <w:vMerge/>
                  <w:shd w:val="clear" w:color="auto" w:fill="auto"/>
                </w:tcPr>
                <w:p w14:paraId="4044D0A4"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de-DE"/>
                    </w:rPr>
                  </w:pPr>
                  <w:bookmarkStart w:id="20" w:name="_cp_change_140"/>
                  <w:bookmarkEnd w:id="19"/>
                </w:p>
              </w:tc>
              <w:tc>
                <w:tcPr>
                  <w:tcW w:w="1166" w:type="dxa"/>
                  <w:vMerge/>
                  <w:shd w:val="clear" w:color="auto" w:fill="auto"/>
                </w:tcPr>
                <w:p w14:paraId="2B04F720"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de-DE"/>
                    </w:rPr>
                  </w:pPr>
                </w:p>
              </w:tc>
              <w:tc>
                <w:tcPr>
                  <w:tcW w:w="2888" w:type="dxa"/>
                  <w:shd w:val="clear" w:color="auto" w:fill="auto"/>
                  <w:vAlign w:val="bottom"/>
                </w:tcPr>
                <w:p w14:paraId="78894E6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Mobility Solutions GmbH</w:t>
                  </w:r>
                </w:p>
              </w:tc>
              <w:tc>
                <w:tcPr>
                  <w:tcW w:w="1817" w:type="dxa"/>
                  <w:vMerge/>
                  <w:shd w:val="clear" w:color="auto" w:fill="auto"/>
                </w:tcPr>
                <w:p w14:paraId="4691C612"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79679270" w14:textId="77777777" w:rsidTr="00376599">
              <w:trPr>
                <w:trHeight w:val="602"/>
              </w:trPr>
              <w:tc>
                <w:tcPr>
                  <w:tcW w:w="1395" w:type="dxa"/>
                  <w:shd w:val="clear" w:color="auto" w:fill="auto"/>
                </w:tcPr>
                <w:p w14:paraId="7F7974ED"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1" w:name="_cp_change_149"/>
                  <w:bookmarkEnd w:id="20"/>
                  <w:r w:rsidRPr="00376599">
                    <w:rPr>
                      <w:rFonts w:asciiTheme="majorHAnsi" w:hAnsiTheme="majorHAnsi"/>
                      <w:color w:val="231F20" w:themeColor="text1"/>
                      <w:sz w:val="16"/>
                      <w:szCs w:val="16"/>
                    </w:rPr>
                    <w:lastRenderedPageBreak/>
                    <w:t>Hungary</w:t>
                  </w:r>
                </w:p>
              </w:tc>
              <w:tc>
                <w:tcPr>
                  <w:tcW w:w="1166" w:type="dxa"/>
                  <w:shd w:val="clear" w:color="auto" w:fill="auto"/>
                </w:tcPr>
                <w:p w14:paraId="71879AC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HU</w:t>
                  </w:r>
                </w:p>
              </w:tc>
              <w:tc>
                <w:tcPr>
                  <w:tcW w:w="2888" w:type="dxa"/>
                  <w:shd w:val="clear" w:color="auto" w:fill="auto"/>
                  <w:vAlign w:val="bottom"/>
                </w:tcPr>
                <w:p w14:paraId="7A4AFAFF"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General Logistics Systems Hungary </w:t>
                  </w:r>
                  <w:proofErr w:type="spellStart"/>
                  <w:r w:rsidRPr="00376599">
                    <w:rPr>
                      <w:rFonts w:asciiTheme="majorHAnsi" w:hAnsiTheme="majorHAnsi" w:cs="Arial"/>
                      <w:color w:val="231F20" w:themeColor="text1"/>
                      <w:sz w:val="16"/>
                      <w:szCs w:val="16"/>
                    </w:rPr>
                    <w:t>Csomag-Logisztikai</w:t>
                  </w:r>
                  <w:proofErr w:type="spellEnd"/>
                  <w:r w:rsidRPr="00376599">
                    <w:rPr>
                      <w:rFonts w:asciiTheme="majorHAnsi" w:hAnsiTheme="majorHAnsi" w:cs="Arial"/>
                      <w:color w:val="231F20" w:themeColor="text1"/>
                      <w:sz w:val="16"/>
                      <w:szCs w:val="16"/>
                    </w:rPr>
                    <w:t xml:space="preserve"> Kft.</w:t>
                  </w:r>
                </w:p>
              </w:tc>
              <w:tc>
                <w:tcPr>
                  <w:tcW w:w="1817" w:type="dxa"/>
                  <w:shd w:val="clear" w:color="auto" w:fill="auto"/>
                </w:tcPr>
                <w:p w14:paraId="298BF5F5"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13F351A2" w14:textId="77777777" w:rsidTr="00376599">
              <w:trPr>
                <w:trHeight w:val="581"/>
              </w:trPr>
              <w:tc>
                <w:tcPr>
                  <w:tcW w:w="1395" w:type="dxa"/>
                  <w:shd w:val="clear" w:color="auto" w:fill="auto"/>
                </w:tcPr>
                <w:p w14:paraId="1569DC1C"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2" w:name="_cp_change_158"/>
                  <w:bookmarkEnd w:id="21"/>
                  <w:r w:rsidRPr="00376599">
                    <w:rPr>
                      <w:rFonts w:asciiTheme="majorHAnsi" w:hAnsiTheme="majorHAnsi"/>
                      <w:color w:val="231F20" w:themeColor="text1"/>
                      <w:sz w:val="16"/>
                      <w:szCs w:val="16"/>
                    </w:rPr>
                    <w:t>Ireland</w:t>
                  </w:r>
                </w:p>
              </w:tc>
              <w:tc>
                <w:tcPr>
                  <w:tcW w:w="1166" w:type="dxa"/>
                  <w:shd w:val="clear" w:color="auto" w:fill="auto"/>
                </w:tcPr>
                <w:p w14:paraId="192DD6B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IE</w:t>
                  </w:r>
                </w:p>
              </w:tc>
              <w:tc>
                <w:tcPr>
                  <w:tcW w:w="2888" w:type="dxa"/>
                  <w:shd w:val="clear" w:color="auto" w:fill="auto"/>
                  <w:vAlign w:val="bottom"/>
                </w:tcPr>
                <w:p w14:paraId="0E941630"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Ireland Ltd</w:t>
                  </w:r>
                </w:p>
              </w:tc>
              <w:tc>
                <w:tcPr>
                  <w:tcW w:w="1817" w:type="dxa"/>
                  <w:shd w:val="clear" w:color="auto" w:fill="auto"/>
                </w:tcPr>
                <w:p w14:paraId="6223D6C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3EAF8BDB" w14:textId="77777777" w:rsidTr="00376599">
              <w:trPr>
                <w:trHeight w:val="415"/>
              </w:trPr>
              <w:tc>
                <w:tcPr>
                  <w:tcW w:w="1395" w:type="dxa"/>
                  <w:vMerge w:val="restart"/>
                  <w:shd w:val="clear" w:color="auto" w:fill="auto"/>
                </w:tcPr>
                <w:p w14:paraId="788F764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3" w:name="_cp_change_167"/>
                  <w:bookmarkEnd w:id="22"/>
                  <w:r w:rsidRPr="00376599">
                    <w:rPr>
                      <w:rFonts w:asciiTheme="majorHAnsi" w:hAnsiTheme="majorHAnsi"/>
                      <w:color w:val="231F20" w:themeColor="text1"/>
                      <w:sz w:val="16"/>
                      <w:szCs w:val="16"/>
                    </w:rPr>
                    <w:t>Italy</w:t>
                  </w:r>
                </w:p>
              </w:tc>
              <w:tc>
                <w:tcPr>
                  <w:tcW w:w="1166" w:type="dxa"/>
                  <w:vMerge w:val="restart"/>
                  <w:shd w:val="clear" w:color="auto" w:fill="auto"/>
                </w:tcPr>
                <w:p w14:paraId="32BAB95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IT</w:t>
                  </w:r>
                </w:p>
              </w:tc>
              <w:tc>
                <w:tcPr>
                  <w:tcW w:w="2888" w:type="dxa"/>
                  <w:shd w:val="clear" w:color="auto" w:fill="auto"/>
                  <w:vAlign w:val="bottom"/>
                </w:tcPr>
                <w:p w14:paraId="40646C1C"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Agone </w:t>
                  </w:r>
                  <w:proofErr w:type="spellStart"/>
                  <w:r w:rsidRPr="00376599">
                    <w:rPr>
                      <w:rFonts w:asciiTheme="majorHAnsi" w:hAnsiTheme="majorHAnsi" w:cs="Arial"/>
                      <w:color w:val="231F20" w:themeColor="text1"/>
                      <w:sz w:val="16"/>
                      <w:szCs w:val="16"/>
                    </w:rPr>
                    <w:t>S.r.l</w:t>
                  </w:r>
                  <w:proofErr w:type="spellEnd"/>
                  <w:r w:rsidRPr="00376599">
                    <w:rPr>
                      <w:rFonts w:asciiTheme="majorHAnsi" w:hAnsiTheme="majorHAnsi" w:cs="Arial"/>
                      <w:color w:val="231F20" w:themeColor="text1"/>
                      <w:sz w:val="16"/>
                      <w:szCs w:val="16"/>
                    </w:rPr>
                    <w:t>.</w:t>
                  </w:r>
                </w:p>
              </w:tc>
              <w:tc>
                <w:tcPr>
                  <w:tcW w:w="1817" w:type="dxa"/>
                  <w:vMerge w:val="restart"/>
                  <w:shd w:val="clear" w:color="auto" w:fill="auto"/>
                </w:tcPr>
                <w:p w14:paraId="67944889"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Holding or Managing Intellectual Property / Provision of Services to Unrelated Parties</w:t>
                  </w:r>
                </w:p>
              </w:tc>
            </w:tr>
            <w:tr w:rsidR="007C5414" w:rsidRPr="00376599" w14:paraId="5D372B82" w14:textId="77777777" w:rsidTr="00376599">
              <w:trPr>
                <w:trHeight w:val="143"/>
              </w:trPr>
              <w:tc>
                <w:tcPr>
                  <w:tcW w:w="1395" w:type="dxa"/>
                  <w:vMerge/>
                  <w:shd w:val="clear" w:color="auto" w:fill="auto"/>
                </w:tcPr>
                <w:p w14:paraId="6F95337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4" w:name="_cp_change_173"/>
                  <w:bookmarkEnd w:id="23"/>
                </w:p>
              </w:tc>
              <w:tc>
                <w:tcPr>
                  <w:tcW w:w="1166" w:type="dxa"/>
                  <w:vMerge/>
                  <w:shd w:val="clear" w:color="auto" w:fill="auto"/>
                </w:tcPr>
                <w:p w14:paraId="49E42D14"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51A231CE"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Enterprise </w:t>
                  </w:r>
                  <w:proofErr w:type="spellStart"/>
                  <w:r w:rsidRPr="00376599">
                    <w:rPr>
                      <w:rFonts w:asciiTheme="majorHAnsi" w:hAnsiTheme="majorHAnsi" w:cs="Arial"/>
                      <w:color w:val="231F20" w:themeColor="text1"/>
                      <w:sz w:val="16"/>
                      <w:szCs w:val="16"/>
                    </w:rPr>
                    <w:t>S.r.l</w:t>
                  </w:r>
                  <w:proofErr w:type="spellEnd"/>
                  <w:r w:rsidRPr="00376599">
                    <w:rPr>
                      <w:rFonts w:asciiTheme="majorHAnsi" w:hAnsiTheme="majorHAnsi" w:cs="Arial"/>
                      <w:color w:val="231F20" w:themeColor="text1"/>
                      <w:sz w:val="16"/>
                      <w:szCs w:val="16"/>
                    </w:rPr>
                    <w:t>.</w:t>
                  </w:r>
                </w:p>
              </w:tc>
              <w:tc>
                <w:tcPr>
                  <w:tcW w:w="1817" w:type="dxa"/>
                  <w:vMerge/>
                  <w:shd w:val="clear" w:color="auto" w:fill="auto"/>
                </w:tcPr>
                <w:p w14:paraId="565D87F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4DF5EAEE" w14:textId="77777777" w:rsidTr="00376599">
              <w:trPr>
                <w:trHeight w:val="143"/>
              </w:trPr>
              <w:tc>
                <w:tcPr>
                  <w:tcW w:w="1395" w:type="dxa"/>
                  <w:vMerge/>
                  <w:shd w:val="clear" w:color="auto" w:fill="auto"/>
                </w:tcPr>
                <w:p w14:paraId="288D0D51"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5" w:name="_cp_change_179"/>
                  <w:bookmarkEnd w:id="24"/>
                </w:p>
              </w:tc>
              <w:tc>
                <w:tcPr>
                  <w:tcW w:w="1166" w:type="dxa"/>
                  <w:vMerge/>
                  <w:shd w:val="clear" w:color="auto" w:fill="auto"/>
                </w:tcPr>
                <w:p w14:paraId="4644B644"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55112060"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Italy S.p.A.</w:t>
                  </w:r>
                </w:p>
              </w:tc>
              <w:tc>
                <w:tcPr>
                  <w:tcW w:w="1817" w:type="dxa"/>
                  <w:vMerge/>
                  <w:shd w:val="clear" w:color="auto" w:fill="auto"/>
                </w:tcPr>
                <w:p w14:paraId="0D13DC45"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r>
            <w:tr w:rsidR="007C5414" w:rsidRPr="00376599" w14:paraId="0F3B98F9" w14:textId="77777777" w:rsidTr="00376599">
              <w:trPr>
                <w:trHeight w:val="143"/>
              </w:trPr>
              <w:tc>
                <w:tcPr>
                  <w:tcW w:w="1395" w:type="dxa"/>
                  <w:vMerge/>
                  <w:shd w:val="clear" w:color="auto" w:fill="auto"/>
                </w:tcPr>
                <w:p w14:paraId="6E42783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6" w:name="_cp_change_185"/>
                  <w:bookmarkEnd w:id="25"/>
                </w:p>
              </w:tc>
              <w:tc>
                <w:tcPr>
                  <w:tcW w:w="1166" w:type="dxa"/>
                  <w:vMerge/>
                  <w:shd w:val="clear" w:color="auto" w:fill="auto"/>
                </w:tcPr>
                <w:p w14:paraId="070AA1F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3DF41509"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lang w:val="it-IT"/>
                    </w:rPr>
                  </w:pPr>
                  <w:r w:rsidRPr="00376599">
                    <w:rPr>
                      <w:rFonts w:asciiTheme="majorHAnsi" w:hAnsiTheme="majorHAnsi" w:cs="Arial"/>
                      <w:color w:val="231F20" w:themeColor="text1"/>
                      <w:sz w:val="16"/>
                      <w:szCs w:val="16"/>
                      <w:lang w:val="it-IT"/>
                    </w:rPr>
                    <w:t>Gruppo Executive Societa Consortile a.r.l.</w:t>
                  </w:r>
                </w:p>
              </w:tc>
              <w:tc>
                <w:tcPr>
                  <w:tcW w:w="1817" w:type="dxa"/>
                  <w:vMerge/>
                  <w:shd w:val="clear" w:color="auto" w:fill="auto"/>
                </w:tcPr>
                <w:p w14:paraId="57D7DCB9"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it-IT"/>
                    </w:rPr>
                  </w:pPr>
                </w:p>
              </w:tc>
            </w:tr>
            <w:tr w:rsidR="007C5414" w:rsidRPr="00376599" w14:paraId="57623AA2" w14:textId="77777777" w:rsidTr="00376599">
              <w:trPr>
                <w:trHeight w:val="581"/>
              </w:trPr>
              <w:tc>
                <w:tcPr>
                  <w:tcW w:w="1395" w:type="dxa"/>
                  <w:shd w:val="clear" w:color="auto" w:fill="auto"/>
                </w:tcPr>
                <w:p w14:paraId="7C685448"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it-IT"/>
                    </w:rPr>
                  </w:pPr>
                  <w:bookmarkStart w:id="27" w:name="_cp_change_194"/>
                  <w:bookmarkEnd w:id="26"/>
                  <w:r w:rsidRPr="00376599">
                    <w:rPr>
                      <w:rFonts w:asciiTheme="majorHAnsi" w:hAnsiTheme="majorHAnsi"/>
                      <w:color w:val="231F20" w:themeColor="text1"/>
                      <w:sz w:val="16"/>
                      <w:szCs w:val="16"/>
                      <w:lang w:val="it-IT"/>
                    </w:rPr>
                    <w:t>Luxembourg</w:t>
                  </w:r>
                </w:p>
              </w:tc>
              <w:tc>
                <w:tcPr>
                  <w:tcW w:w="1166" w:type="dxa"/>
                  <w:shd w:val="clear" w:color="auto" w:fill="auto"/>
                </w:tcPr>
                <w:p w14:paraId="49764777" w14:textId="77777777" w:rsidR="007C5414" w:rsidRPr="00376599" w:rsidRDefault="007C5414" w:rsidP="00153EA0">
                  <w:pPr>
                    <w:pStyle w:val="LLNormal"/>
                    <w:spacing w:line="240" w:lineRule="auto"/>
                    <w:jc w:val="left"/>
                    <w:rPr>
                      <w:rFonts w:asciiTheme="majorHAnsi" w:hAnsiTheme="majorHAnsi"/>
                      <w:color w:val="231F20" w:themeColor="text1"/>
                      <w:sz w:val="16"/>
                      <w:szCs w:val="16"/>
                      <w:lang w:val="it-IT"/>
                    </w:rPr>
                  </w:pPr>
                  <w:r w:rsidRPr="00376599">
                    <w:rPr>
                      <w:rFonts w:asciiTheme="majorHAnsi" w:hAnsiTheme="majorHAnsi"/>
                      <w:color w:val="231F20" w:themeColor="text1"/>
                      <w:sz w:val="16"/>
                      <w:szCs w:val="16"/>
                      <w:lang w:val="it-IT"/>
                    </w:rPr>
                    <w:t>LU</w:t>
                  </w:r>
                </w:p>
              </w:tc>
              <w:tc>
                <w:tcPr>
                  <w:tcW w:w="2888" w:type="dxa"/>
                  <w:shd w:val="clear" w:color="auto" w:fill="auto"/>
                  <w:vAlign w:val="bottom"/>
                </w:tcPr>
                <w:p w14:paraId="59A07D11"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Belgium S.A. </w:t>
                  </w:r>
                  <w:proofErr w:type="spellStart"/>
                  <w:r w:rsidRPr="00376599">
                    <w:rPr>
                      <w:rFonts w:asciiTheme="majorHAnsi" w:hAnsiTheme="majorHAnsi" w:cs="Arial"/>
                      <w:color w:val="231F20" w:themeColor="text1"/>
                      <w:sz w:val="16"/>
                      <w:szCs w:val="16"/>
                    </w:rPr>
                    <w:t>Succursale</w:t>
                  </w:r>
                  <w:proofErr w:type="spellEnd"/>
                  <w:r w:rsidRPr="00376599">
                    <w:rPr>
                      <w:rFonts w:asciiTheme="majorHAnsi" w:hAnsiTheme="majorHAnsi" w:cs="Arial"/>
                      <w:color w:val="231F20" w:themeColor="text1"/>
                      <w:sz w:val="16"/>
                      <w:szCs w:val="16"/>
                    </w:rPr>
                    <w:t xml:space="preserve"> de Luxembourg</w:t>
                  </w:r>
                </w:p>
              </w:tc>
              <w:tc>
                <w:tcPr>
                  <w:tcW w:w="1817" w:type="dxa"/>
                  <w:shd w:val="clear" w:color="auto" w:fill="auto"/>
                </w:tcPr>
                <w:p w14:paraId="7CEAD109"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65D99B53" w14:textId="77777777" w:rsidTr="00376599">
              <w:trPr>
                <w:trHeight w:val="602"/>
              </w:trPr>
              <w:tc>
                <w:tcPr>
                  <w:tcW w:w="1395" w:type="dxa"/>
                  <w:shd w:val="clear" w:color="auto" w:fill="auto"/>
                </w:tcPr>
                <w:p w14:paraId="6E70362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8" w:name="_cp_change_203"/>
                  <w:bookmarkEnd w:id="27"/>
                  <w:r w:rsidRPr="00376599">
                    <w:rPr>
                      <w:rFonts w:asciiTheme="majorHAnsi" w:hAnsiTheme="majorHAnsi"/>
                      <w:color w:val="231F20" w:themeColor="text1"/>
                      <w:sz w:val="16"/>
                      <w:szCs w:val="16"/>
                    </w:rPr>
                    <w:t>Poland</w:t>
                  </w:r>
                </w:p>
              </w:tc>
              <w:tc>
                <w:tcPr>
                  <w:tcW w:w="1166" w:type="dxa"/>
                  <w:shd w:val="clear" w:color="auto" w:fill="auto"/>
                </w:tcPr>
                <w:p w14:paraId="61D9BC0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PL</w:t>
                  </w:r>
                </w:p>
              </w:tc>
              <w:tc>
                <w:tcPr>
                  <w:tcW w:w="2888" w:type="dxa"/>
                  <w:shd w:val="clear" w:color="auto" w:fill="auto"/>
                  <w:vAlign w:val="bottom"/>
                </w:tcPr>
                <w:p w14:paraId="790F0DD0"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Poland Sp. z </w:t>
                  </w:r>
                  <w:proofErr w:type="spellStart"/>
                  <w:r w:rsidRPr="00376599">
                    <w:rPr>
                      <w:rFonts w:asciiTheme="majorHAnsi" w:hAnsiTheme="majorHAnsi" w:cs="Arial"/>
                      <w:color w:val="231F20" w:themeColor="text1"/>
                      <w:sz w:val="16"/>
                      <w:szCs w:val="16"/>
                    </w:rPr>
                    <w:t>o.o.</w:t>
                  </w:r>
                  <w:proofErr w:type="spellEnd"/>
                </w:p>
              </w:tc>
              <w:tc>
                <w:tcPr>
                  <w:tcW w:w="1817" w:type="dxa"/>
                  <w:shd w:val="clear" w:color="auto" w:fill="auto"/>
                </w:tcPr>
                <w:p w14:paraId="5191EA62"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56A670C8" w14:textId="77777777" w:rsidTr="00376599">
              <w:trPr>
                <w:trHeight w:val="602"/>
              </w:trPr>
              <w:tc>
                <w:tcPr>
                  <w:tcW w:w="1395" w:type="dxa"/>
                  <w:shd w:val="clear" w:color="auto" w:fill="auto"/>
                </w:tcPr>
                <w:p w14:paraId="6828A44E"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29" w:name="_cp_change_212"/>
                  <w:bookmarkEnd w:id="28"/>
                  <w:r w:rsidRPr="00376599">
                    <w:rPr>
                      <w:rFonts w:asciiTheme="majorHAnsi" w:hAnsiTheme="majorHAnsi"/>
                      <w:color w:val="231F20" w:themeColor="text1"/>
                      <w:sz w:val="16"/>
                      <w:szCs w:val="16"/>
                    </w:rPr>
                    <w:t>Portugal</w:t>
                  </w:r>
                </w:p>
              </w:tc>
              <w:tc>
                <w:tcPr>
                  <w:tcW w:w="1166" w:type="dxa"/>
                  <w:shd w:val="clear" w:color="auto" w:fill="auto"/>
                </w:tcPr>
                <w:p w14:paraId="7A34266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PT</w:t>
                  </w:r>
                </w:p>
              </w:tc>
              <w:tc>
                <w:tcPr>
                  <w:tcW w:w="2888" w:type="dxa"/>
                  <w:shd w:val="clear" w:color="auto" w:fill="auto"/>
                  <w:vAlign w:val="bottom"/>
                </w:tcPr>
                <w:p w14:paraId="3DB2A7CB"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Portugal </w:t>
                  </w:r>
                  <w:proofErr w:type="spellStart"/>
                  <w:r w:rsidRPr="00376599">
                    <w:rPr>
                      <w:rFonts w:asciiTheme="majorHAnsi" w:hAnsiTheme="majorHAnsi" w:cs="Arial"/>
                      <w:color w:val="231F20" w:themeColor="text1"/>
                      <w:sz w:val="16"/>
                      <w:szCs w:val="16"/>
                    </w:rPr>
                    <w:t>Lda</w:t>
                  </w:r>
                  <w:proofErr w:type="spellEnd"/>
                  <w:r w:rsidRPr="00376599">
                    <w:rPr>
                      <w:rFonts w:asciiTheme="majorHAnsi" w:hAnsiTheme="majorHAnsi" w:cs="Arial"/>
                      <w:color w:val="231F20" w:themeColor="text1"/>
                      <w:sz w:val="16"/>
                      <w:szCs w:val="16"/>
                    </w:rPr>
                    <w:t>.</w:t>
                  </w:r>
                </w:p>
              </w:tc>
              <w:tc>
                <w:tcPr>
                  <w:tcW w:w="1817" w:type="dxa"/>
                  <w:shd w:val="clear" w:color="auto" w:fill="auto"/>
                </w:tcPr>
                <w:p w14:paraId="09DBF72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bookmarkEnd w:id="29"/>
            <w:tr w:rsidR="007C5414" w:rsidRPr="00376599" w14:paraId="2AD7747D" w14:textId="77777777" w:rsidTr="00376599">
              <w:trPr>
                <w:trHeight w:val="602"/>
              </w:trPr>
              <w:tc>
                <w:tcPr>
                  <w:tcW w:w="1395" w:type="dxa"/>
                  <w:shd w:val="clear" w:color="auto" w:fill="auto"/>
                </w:tcPr>
                <w:p w14:paraId="4A419706"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Romania</w:t>
                  </w:r>
                </w:p>
              </w:tc>
              <w:tc>
                <w:tcPr>
                  <w:tcW w:w="1166" w:type="dxa"/>
                  <w:shd w:val="clear" w:color="auto" w:fill="auto"/>
                </w:tcPr>
                <w:p w14:paraId="514BB05F"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RO</w:t>
                  </w:r>
                </w:p>
              </w:tc>
              <w:tc>
                <w:tcPr>
                  <w:tcW w:w="2888" w:type="dxa"/>
                  <w:shd w:val="clear" w:color="auto" w:fill="auto"/>
                  <w:vAlign w:val="bottom"/>
                </w:tcPr>
                <w:p w14:paraId="5FBA1BA1"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bookmarkStart w:id="30" w:name="_cp_change_214"/>
                  <w:r w:rsidRPr="00376599">
                    <w:rPr>
                      <w:rFonts w:asciiTheme="majorHAnsi" w:hAnsiTheme="majorHAnsi" w:cs="Arial"/>
                      <w:color w:val="231F20" w:themeColor="text1"/>
                      <w:sz w:val="16"/>
                      <w:szCs w:val="16"/>
                    </w:rPr>
                    <w:t>GLS General Logistics Systems S.</w:t>
                  </w:r>
                  <w:proofErr w:type="gramStart"/>
                  <w:r w:rsidRPr="00376599">
                    <w:rPr>
                      <w:rFonts w:asciiTheme="majorHAnsi" w:hAnsiTheme="majorHAnsi" w:cs="Arial"/>
                      <w:color w:val="231F20" w:themeColor="text1"/>
                      <w:sz w:val="16"/>
                      <w:szCs w:val="16"/>
                    </w:rPr>
                    <w:t>R.L</w:t>
                  </w:r>
                  <w:bookmarkEnd w:id="30"/>
                  <w:proofErr w:type="gramEnd"/>
                </w:p>
              </w:tc>
              <w:tc>
                <w:tcPr>
                  <w:tcW w:w="1817" w:type="dxa"/>
                  <w:shd w:val="clear" w:color="auto" w:fill="auto"/>
                </w:tcPr>
                <w:p w14:paraId="01C2D7A5"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1" w:name="_cp_change_216"/>
                  <w:r w:rsidRPr="00376599">
                    <w:rPr>
                      <w:rFonts w:asciiTheme="majorHAnsi" w:hAnsiTheme="majorHAnsi"/>
                      <w:color w:val="231F20" w:themeColor="text1"/>
                      <w:sz w:val="16"/>
                      <w:szCs w:val="16"/>
                    </w:rPr>
                    <w:t>Provision of Services to Unrelated Parties</w:t>
                  </w:r>
                  <w:bookmarkEnd w:id="31"/>
                </w:p>
              </w:tc>
            </w:tr>
            <w:tr w:rsidR="007C5414" w:rsidRPr="00376599" w14:paraId="6D107D32" w14:textId="77777777" w:rsidTr="00376599">
              <w:trPr>
                <w:trHeight w:val="581"/>
              </w:trPr>
              <w:tc>
                <w:tcPr>
                  <w:tcW w:w="1395" w:type="dxa"/>
                  <w:shd w:val="clear" w:color="auto" w:fill="auto"/>
                </w:tcPr>
                <w:p w14:paraId="269CA4F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2" w:name="_cp_change_225"/>
                  <w:r w:rsidRPr="00376599">
                    <w:rPr>
                      <w:rFonts w:asciiTheme="majorHAnsi" w:hAnsiTheme="majorHAnsi"/>
                      <w:color w:val="231F20" w:themeColor="text1"/>
                      <w:sz w:val="16"/>
                      <w:szCs w:val="16"/>
                    </w:rPr>
                    <w:t>Slovakia</w:t>
                  </w:r>
                </w:p>
              </w:tc>
              <w:tc>
                <w:tcPr>
                  <w:tcW w:w="1166" w:type="dxa"/>
                  <w:shd w:val="clear" w:color="auto" w:fill="auto"/>
                </w:tcPr>
                <w:p w14:paraId="6270B7F8"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SK</w:t>
                  </w:r>
                </w:p>
              </w:tc>
              <w:tc>
                <w:tcPr>
                  <w:tcW w:w="2888" w:type="dxa"/>
                  <w:shd w:val="clear" w:color="auto" w:fill="auto"/>
                  <w:vAlign w:val="bottom"/>
                </w:tcPr>
                <w:p w14:paraId="194EA00E"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General Logistics Systems Slovakia </w:t>
                  </w:r>
                  <w:proofErr w:type="spellStart"/>
                  <w:r w:rsidRPr="00376599">
                    <w:rPr>
                      <w:rFonts w:asciiTheme="majorHAnsi" w:hAnsiTheme="majorHAnsi" w:cs="Arial"/>
                      <w:color w:val="231F20" w:themeColor="text1"/>
                      <w:sz w:val="16"/>
                      <w:szCs w:val="16"/>
                    </w:rPr>
                    <w:t>s.r.o.</w:t>
                  </w:r>
                  <w:proofErr w:type="spellEnd"/>
                </w:p>
              </w:tc>
              <w:tc>
                <w:tcPr>
                  <w:tcW w:w="1817" w:type="dxa"/>
                  <w:shd w:val="clear" w:color="auto" w:fill="auto"/>
                </w:tcPr>
                <w:p w14:paraId="785EEF55"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080A0F99" w14:textId="77777777" w:rsidTr="00376599">
              <w:trPr>
                <w:trHeight w:val="602"/>
              </w:trPr>
              <w:tc>
                <w:tcPr>
                  <w:tcW w:w="1395" w:type="dxa"/>
                  <w:shd w:val="clear" w:color="auto" w:fill="auto"/>
                </w:tcPr>
                <w:p w14:paraId="2C9FE7F8"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3" w:name="_cp_change_234"/>
                  <w:bookmarkEnd w:id="32"/>
                  <w:r w:rsidRPr="00376599">
                    <w:rPr>
                      <w:rFonts w:asciiTheme="majorHAnsi" w:hAnsiTheme="majorHAnsi"/>
                      <w:color w:val="231F20" w:themeColor="text1"/>
                      <w:sz w:val="16"/>
                      <w:szCs w:val="16"/>
                    </w:rPr>
                    <w:t>Slovenia</w:t>
                  </w:r>
                </w:p>
              </w:tc>
              <w:tc>
                <w:tcPr>
                  <w:tcW w:w="1166" w:type="dxa"/>
                  <w:shd w:val="clear" w:color="auto" w:fill="auto"/>
                </w:tcPr>
                <w:p w14:paraId="0D92D1DD"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SI</w:t>
                  </w:r>
                </w:p>
              </w:tc>
              <w:tc>
                <w:tcPr>
                  <w:tcW w:w="2888" w:type="dxa"/>
                  <w:shd w:val="clear" w:color="auto" w:fill="auto"/>
                  <w:vAlign w:val="bottom"/>
                </w:tcPr>
                <w:p w14:paraId="5489CAAC"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w:t>
                  </w:r>
                  <w:proofErr w:type="spellStart"/>
                  <w:r w:rsidRPr="00376599">
                    <w:rPr>
                      <w:rFonts w:asciiTheme="majorHAnsi" w:hAnsiTheme="majorHAnsi" w:cs="Arial"/>
                      <w:color w:val="231F20" w:themeColor="text1"/>
                      <w:sz w:val="16"/>
                      <w:szCs w:val="16"/>
                    </w:rPr>
                    <w:t>logisticne</w:t>
                  </w:r>
                  <w:proofErr w:type="spellEnd"/>
                  <w:r w:rsidRPr="00376599">
                    <w:rPr>
                      <w:rFonts w:asciiTheme="majorHAnsi" w:hAnsiTheme="majorHAnsi" w:cs="Arial"/>
                      <w:color w:val="231F20" w:themeColor="text1"/>
                      <w:sz w:val="16"/>
                      <w:szCs w:val="16"/>
                    </w:rPr>
                    <w:t xml:space="preserve"> </w:t>
                  </w:r>
                  <w:proofErr w:type="spellStart"/>
                  <w:r w:rsidRPr="00376599">
                    <w:rPr>
                      <w:rFonts w:asciiTheme="majorHAnsi" w:hAnsiTheme="majorHAnsi" w:cs="Arial"/>
                      <w:color w:val="231F20" w:themeColor="text1"/>
                      <w:sz w:val="16"/>
                      <w:szCs w:val="16"/>
                    </w:rPr>
                    <w:t>stortive</w:t>
                  </w:r>
                  <w:proofErr w:type="spellEnd"/>
                  <w:r w:rsidRPr="00376599">
                    <w:rPr>
                      <w:rFonts w:asciiTheme="majorHAnsi" w:hAnsiTheme="majorHAnsi" w:cs="Arial"/>
                      <w:color w:val="231F20" w:themeColor="text1"/>
                      <w:sz w:val="16"/>
                      <w:szCs w:val="16"/>
                    </w:rPr>
                    <w:t xml:space="preserve"> d.o.o.</w:t>
                  </w:r>
                </w:p>
              </w:tc>
              <w:tc>
                <w:tcPr>
                  <w:tcW w:w="1817" w:type="dxa"/>
                  <w:shd w:val="clear" w:color="auto" w:fill="auto"/>
                </w:tcPr>
                <w:p w14:paraId="45311BF3"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0657672E" w14:textId="77777777" w:rsidTr="00376599">
              <w:trPr>
                <w:trHeight w:val="602"/>
              </w:trPr>
              <w:tc>
                <w:tcPr>
                  <w:tcW w:w="1395" w:type="dxa"/>
                  <w:shd w:val="clear" w:color="auto" w:fill="auto"/>
                </w:tcPr>
                <w:p w14:paraId="05051DA7"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4" w:name="_cp_change_243"/>
                  <w:bookmarkEnd w:id="33"/>
                  <w:r w:rsidRPr="00376599">
                    <w:rPr>
                      <w:rFonts w:asciiTheme="majorHAnsi" w:hAnsiTheme="majorHAnsi"/>
                      <w:color w:val="231F20" w:themeColor="text1"/>
                      <w:sz w:val="16"/>
                      <w:szCs w:val="16"/>
                    </w:rPr>
                    <w:lastRenderedPageBreak/>
                    <w:t>Spain</w:t>
                  </w:r>
                </w:p>
              </w:tc>
              <w:tc>
                <w:tcPr>
                  <w:tcW w:w="1166" w:type="dxa"/>
                  <w:shd w:val="clear" w:color="auto" w:fill="auto"/>
                </w:tcPr>
                <w:p w14:paraId="304F4492"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ES</w:t>
                  </w:r>
                </w:p>
              </w:tc>
              <w:tc>
                <w:tcPr>
                  <w:tcW w:w="2888" w:type="dxa"/>
                  <w:shd w:val="clear" w:color="auto" w:fill="auto"/>
                  <w:vAlign w:val="bottom"/>
                </w:tcPr>
                <w:p w14:paraId="6C0651A7"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Spain </w:t>
                  </w:r>
                  <w:proofErr w:type="gramStart"/>
                  <w:r w:rsidRPr="00376599">
                    <w:rPr>
                      <w:rFonts w:asciiTheme="majorHAnsi" w:hAnsiTheme="majorHAnsi" w:cs="Arial"/>
                      <w:color w:val="231F20" w:themeColor="text1"/>
                      <w:sz w:val="16"/>
                      <w:szCs w:val="16"/>
                    </w:rPr>
                    <w:t>S.L</w:t>
                  </w:r>
                  <w:proofErr w:type="gramEnd"/>
                </w:p>
              </w:tc>
              <w:tc>
                <w:tcPr>
                  <w:tcW w:w="1817" w:type="dxa"/>
                  <w:shd w:val="clear" w:color="auto" w:fill="auto"/>
                </w:tcPr>
                <w:p w14:paraId="497771D9"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w:t>
                  </w:r>
                </w:p>
              </w:tc>
            </w:tr>
            <w:tr w:rsidR="007C5414" w:rsidRPr="00376599" w14:paraId="524D44DA" w14:textId="77777777" w:rsidTr="00376599">
              <w:trPr>
                <w:trHeight w:val="395"/>
              </w:trPr>
              <w:tc>
                <w:tcPr>
                  <w:tcW w:w="1395" w:type="dxa"/>
                  <w:vMerge w:val="restart"/>
                  <w:shd w:val="clear" w:color="auto" w:fill="auto"/>
                </w:tcPr>
                <w:p w14:paraId="621DFEEA"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bookmarkStart w:id="35" w:name="_cp_change_252"/>
                  <w:bookmarkEnd w:id="34"/>
                  <w:r w:rsidRPr="00376599">
                    <w:rPr>
                      <w:rFonts w:asciiTheme="majorHAnsi" w:hAnsiTheme="majorHAnsi"/>
                      <w:color w:val="231F20" w:themeColor="text1"/>
                      <w:sz w:val="16"/>
                      <w:szCs w:val="16"/>
                    </w:rPr>
                    <w:t>The Netherlands</w:t>
                  </w:r>
                </w:p>
              </w:tc>
              <w:tc>
                <w:tcPr>
                  <w:tcW w:w="1166" w:type="dxa"/>
                  <w:vMerge w:val="restart"/>
                  <w:shd w:val="clear" w:color="auto" w:fill="auto"/>
                </w:tcPr>
                <w:p w14:paraId="33C9417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NL</w:t>
                  </w:r>
                </w:p>
              </w:tc>
              <w:tc>
                <w:tcPr>
                  <w:tcW w:w="2888" w:type="dxa"/>
                  <w:shd w:val="clear" w:color="auto" w:fill="auto"/>
                  <w:vAlign w:val="bottom"/>
                </w:tcPr>
                <w:p w14:paraId="4AE1E9CB"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B.V.</w:t>
                  </w:r>
                </w:p>
              </w:tc>
              <w:tc>
                <w:tcPr>
                  <w:tcW w:w="1817" w:type="dxa"/>
                  <w:vMerge w:val="restart"/>
                  <w:shd w:val="clear" w:color="auto" w:fill="auto"/>
                </w:tcPr>
                <w:p w14:paraId="57D2EFFB" w14:textId="77777777" w:rsidR="007C5414" w:rsidRPr="00376599" w:rsidRDefault="007C5414" w:rsidP="00153EA0">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Provision of Services to Unrelated Parties / Holding Shares or Other Equity instruments / Dormant</w:t>
                  </w:r>
                </w:p>
              </w:tc>
            </w:tr>
            <w:tr w:rsidR="007C5414" w:rsidRPr="00376599" w14:paraId="23C9DC04" w14:textId="77777777" w:rsidTr="00376599">
              <w:trPr>
                <w:trHeight w:val="143"/>
              </w:trPr>
              <w:tc>
                <w:tcPr>
                  <w:tcW w:w="1395" w:type="dxa"/>
                  <w:vMerge/>
                  <w:shd w:val="solid" w:color="E6E6FA" w:fill="E6E6FA"/>
                </w:tcPr>
                <w:p w14:paraId="795742C6"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bookmarkStart w:id="36" w:name="_cp_change_258"/>
                  <w:bookmarkEnd w:id="35"/>
                </w:p>
              </w:tc>
              <w:tc>
                <w:tcPr>
                  <w:tcW w:w="1166" w:type="dxa"/>
                  <w:vMerge/>
                  <w:shd w:val="solid" w:color="E6E6FA" w:fill="E6E6FA"/>
                </w:tcPr>
                <w:p w14:paraId="23A98F22"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3AE4BFBA"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Netherlands B.V.</w:t>
                  </w:r>
                </w:p>
              </w:tc>
              <w:tc>
                <w:tcPr>
                  <w:tcW w:w="1817" w:type="dxa"/>
                  <w:vMerge/>
                  <w:shd w:val="solid" w:color="E6E6FA" w:fill="E6E6FA"/>
                </w:tcPr>
                <w:p w14:paraId="749C1B22"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r>
            <w:tr w:rsidR="007C5414" w:rsidRPr="00376599" w14:paraId="2EF4333E" w14:textId="77777777" w:rsidTr="00376599">
              <w:trPr>
                <w:trHeight w:val="143"/>
              </w:trPr>
              <w:tc>
                <w:tcPr>
                  <w:tcW w:w="1395" w:type="dxa"/>
                  <w:vMerge/>
                  <w:shd w:val="solid" w:color="E6E6FA" w:fill="E6E6FA"/>
                </w:tcPr>
                <w:p w14:paraId="120A5841"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bookmarkStart w:id="37" w:name="_cp_change_264"/>
                  <w:bookmarkEnd w:id="36"/>
                </w:p>
              </w:tc>
              <w:tc>
                <w:tcPr>
                  <w:tcW w:w="1166" w:type="dxa"/>
                  <w:vMerge/>
                  <w:shd w:val="solid" w:color="E6E6FA" w:fill="E6E6FA"/>
                </w:tcPr>
                <w:p w14:paraId="31E85E13"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3A6DDC0A"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Netherlands Holding B.V.</w:t>
                  </w:r>
                </w:p>
              </w:tc>
              <w:tc>
                <w:tcPr>
                  <w:tcW w:w="1817" w:type="dxa"/>
                  <w:vMerge/>
                  <w:shd w:val="solid" w:color="E6E6FA" w:fill="E6E6FA"/>
                </w:tcPr>
                <w:p w14:paraId="239F3D02"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r>
            <w:tr w:rsidR="007C5414" w:rsidRPr="00376599" w14:paraId="3E8D0F5A" w14:textId="77777777" w:rsidTr="00376599">
              <w:trPr>
                <w:trHeight w:val="143"/>
              </w:trPr>
              <w:tc>
                <w:tcPr>
                  <w:tcW w:w="1395" w:type="dxa"/>
                  <w:vMerge/>
                  <w:shd w:val="solid" w:color="E6E6FA" w:fill="E6E6FA"/>
                </w:tcPr>
                <w:p w14:paraId="695EB03B"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bookmarkStart w:id="38" w:name="_cp_change_270"/>
                  <w:bookmarkEnd w:id="37"/>
                </w:p>
              </w:tc>
              <w:tc>
                <w:tcPr>
                  <w:tcW w:w="1166" w:type="dxa"/>
                  <w:vMerge/>
                  <w:shd w:val="solid" w:color="E6E6FA" w:fill="E6E6FA"/>
                </w:tcPr>
                <w:p w14:paraId="709BB80C"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20F0A4CA" w14:textId="77777777" w:rsidR="007C5414" w:rsidRPr="00376599" w:rsidRDefault="007C5414" w:rsidP="00153EA0">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Netherlands Services B.V.</w:t>
                  </w:r>
                </w:p>
              </w:tc>
              <w:tc>
                <w:tcPr>
                  <w:tcW w:w="1817" w:type="dxa"/>
                  <w:vMerge/>
                  <w:shd w:val="solid" w:color="E6E6FA" w:fill="E6E6FA"/>
                </w:tcPr>
                <w:p w14:paraId="4AEE99BF" w14:textId="77777777" w:rsidR="007C5414" w:rsidRPr="00376599" w:rsidRDefault="007C5414" w:rsidP="00153EA0">
                  <w:pPr>
                    <w:pStyle w:val="LLNormal"/>
                    <w:spacing w:line="240" w:lineRule="auto"/>
                    <w:jc w:val="left"/>
                    <w:rPr>
                      <w:rFonts w:asciiTheme="majorHAnsi" w:hAnsiTheme="majorHAnsi"/>
                      <w:color w:val="0000FF"/>
                      <w:sz w:val="16"/>
                      <w:szCs w:val="16"/>
                      <w:u w:val="double"/>
                    </w:rPr>
                  </w:pPr>
                </w:p>
              </w:tc>
            </w:tr>
            <w:bookmarkEnd w:id="38"/>
          </w:tbl>
          <w:p w14:paraId="4492B6CD" w14:textId="77777777" w:rsidR="007C5414" w:rsidRPr="00376599" w:rsidRDefault="007C5414" w:rsidP="00153EA0">
            <w:pPr>
              <w:pStyle w:val="LLNormal"/>
              <w:spacing w:line="240" w:lineRule="auto"/>
              <w:rPr>
                <w:rFonts w:asciiTheme="majorHAnsi" w:hAnsiTheme="majorHAnsi"/>
                <w:sz w:val="16"/>
                <w:szCs w:val="16"/>
              </w:rPr>
            </w:pPr>
          </w:p>
          <w:p w14:paraId="6C205187" w14:textId="77777777" w:rsidR="005D33F6" w:rsidRDefault="005D33F6" w:rsidP="00153EA0">
            <w:pPr>
              <w:pStyle w:val="LLNormal"/>
              <w:spacing w:line="240" w:lineRule="auto"/>
              <w:rPr>
                <w:rFonts w:asciiTheme="majorHAnsi" w:hAnsiTheme="majorHAnsi"/>
                <w:b/>
                <w:bCs/>
                <w:szCs w:val="20"/>
              </w:rPr>
            </w:pPr>
          </w:p>
          <w:p w14:paraId="4B7BBEC6" w14:textId="13C0F269" w:rsidR="007C5414" w:rsidRPr="00970E78" w:rsidRDefault="007C5414" w:rsidP="00153EA0">
            <w:pPr>
              <w:pStyle w:val="LLNormal"/>
              <w:spacing w:line="240" w:lineRule="auto"/>
              <w:rPr>
                <w:rFonts w:asciiTheme="majorHAnsi" w:hAnsiTheme="majorHAnsi"/>
                <w:szCs w:val="20"/>
              </w:rPr>
            </w:pPr>
            <w:r w:rsidRPr="00970E78">
              <w:rPr>
                <w:rFonts w:asciiTheme="majorHAnsi" w:hAnsiTheme="majorHAnsi"/>
                <w:b/>
                <w:bCs/>
                <w:szCs w:val="20"/>
              </w:rPr>
              <w:t>Section 4 – Temporarily omitted information</w:t>
            </w:r>
          </w:p>
          <w:p w14:paraId="655285C6" w14:textId="77777777" w:rsidR="007C5414" w:rsidRPr="00970E78" w:rsidRDefault="007C5414" w:rsidP="00153EA0">
            <w:pPr>
              <w:pStyle w:val="LLNormal"/>
              <w:spacing w:line="240" w:lineRule="auto"/>
              <w:rPr>
                <w:rFonts w:asciiTheme="majorHAnsi" w:hAnsiTheme="majorHAnsi"/>
                <w:szCs w:val="20"/>
              </w:rPr>
            </w:pPr>
            <w:r w:rsidRPr="00970E78">
              <w:rPr>
                <w:rFonts w:asciiTheme="majorHAnsi" w:hAnsiTheme="majorHAnsi"/>
                <w:szCs w:val="20"/>
              </w:rPr>
              <w:t xml:space="preserve">Information temporarily omitted for this financial year: </w:t>
            </w:r>
          </w:p>
          <w:tbl>
            <w:tblPr>
              <w:tblStyle w:val="TableGrid"/>
              <w:tblW w:w="0" w:type="auto"/>
              <w:tblLayout w:type="fixed"/>
              <w:tblLook w:val="04A0" w:firstRow="1" w:lastRow="0" w:firstColumn="1" w:lastColumn="0" w:noHBand="0" w:noVBand="1"/>
            </w:tblPr>
            <w:tblGrid>
              <w:gridCol w:w="7330"/>
            </w:tblGrid>
            <w:tr w:rsidR="007C5414" w:rsidRPr="00970E78" w14:paraId="3581CE3A" w14:textId="77777777" w:rsidTr="00376599">
              <w:trPr>
                <w:trHeight w:val="2375"/>
              </w:trPr>
              <w:tc>
                <w:tcPr>
                  <w:tcW w:w="7330" w:type="dxa"/>
                </w:tcPr>
                <w:p w14:paraId="29E2E096" w14:textId="77777777" w:rsidR="007C5414" w:rsidRPr="00970E78" w:rsidRDefault="007C5414" w:rsidP="00153EA0">
                  <w:pPr>
                    <w:spacing w:after="200" w:line="240" w:lineRule="auto"/>
                    <w:rPr>
                      <w:rFonts w:asciiTheme="majorHAnsi" w:hAnsiTheme="majorHAnsi"/>
                      <w:sz w:val="20"/>
                      <w:szCs w:val="20"/>
                    </w:rPr>
                  </w:pPr>
                  <w:r w:rsidRPr="00970E78">
                    <w:rPr>
                      <w:rFonts w:asciiTheme="majorHAnsi" w:hAnsiTheme="majorHAnsi"/>
                      <w:sz w:val="20"/>
                      <w:szCs w:val="20"/>
                    </w:rPr>
                    <w:t xml:space="preserve">In line with Romanian legislation, IDS/GLS is temporarily not disclosing any information for the jurisdictions in which it is operating with respect to revenues, profit (loss) before income tax, income tax paid – on cash basis, income tax accrued – current year, accumulated earnings and the number of employees. The industry in which IDS/GLS is operating is a very competitive industry where competition is based on price and experience. Immediate disclosure of jurisdictional specific information will be seriously prejudicial to the commercial position of IDS/GLS. </w:t>
                  </w:r>
                </w:p>
                <w:p w14:paraId="7FCEA44B" w14:textId="77777777" w:rsidR="007C5414" w:rsidRPr="00970E78" w:rsidRDefault="007C5414" w:rsidP="00153EA0">
                  <w:pPr>
                    <w:spacing w:after="200" w:line="240" w:lineRule="auto"/>
                    <w:rPr>
                      <w:rFonts w:asciiTheme="majorHAnsi" w:hAnsiTheme="majorHAnsi"/>
                      <w:sz w:val="20"/>
                      <w:szCs w:val="20"/>
                    </w:rPr>
                  </w:pPr>
                  <w:r w:rsidRPr="00970E78">
                    <w:rPr>
                      <w:rFonts w:asciiTheme="majorHAnsi" w:hAnsiTheme="majorHAnsi"/>
                      <w:sz w:val="20"/>
                      <w:szCs w:val="20"/>
                    </w:rPr>
                    <w:t>IDS/GLS will publicly disclose the relevant information in later public country-by-country reporting publications in due course. IDS/GLS remains committed and supportive to all corporate transparency initiatives.</w:t>
                  </w:r>
                </w:p>
              </w:tc>
            </w:tr>
          </w:tbl>
          <w:p w14:paraId="52925764" w14:textId="77777777" w:rsidR="008C391F" w:rsidRPr="00970E78" w:rsidRDefault="008C391F" w:rsidP="00153EA0">
            <w:pPr>
              <w:spacing w:line="240" w:lineRule="auto"/>
              <w:rPr>
                <w:rFonts w:asciiTheme="majorHAnsi" w:hAnsiTheme="majorHAnsi"/>
                <w:sz w:val="20"/>
                <w:szCs w:val="20"/>
                <w:lang w:val="ro-RO"/>
              </w:rPr>
            </w:pPr>
          </w:p>
        </w:tc>
        <w:tc>
          <w:tcPr>
            <w:tcW w:w="7656" w:type="dxa"/>
          </w:tcPr>
          <w:p w14:paraId="527D6BBE" w14:textId="00363E20" w:rsidR="00970E78" w:rsidRPr="00BA3AD9" w:rsidRDefault="00970E78" w:rsidP="00BA3AD9">
            <w:pPr>
              <w:pStyle w:val="LLNormal"/>
              <w:spacing w:line="240" w:lineRule="auto"/>
              <w:jc w:val="center"/>
              <w:rPr>
                <w:rFonts w:asciiTheme="majorHAnsi" w:eastAsiaTheme="minorHAnsi" w:hAnsiTheme="majorHAnsi" w:cstheme="minorBidi"/>
                <w:b/>
                <w:bCs/>
                <w:color w:val="231F20" w:themeColor="text1"/>
                <w:szCs w:val="20"/>
                <w:lang w:val="nl-NL"/>
              </w:rPr>
            </w:pPr>
            <w:r w:rsidRPr="00BA3AD9">
              <w:rPr>
                <w:rFonts w:asciiTheme="majorHAnsi" w:eastAsiaTheme="minorHAnsi" w:hAnsiTheme="majorHAnsi" w:cstheme="minorBidi"/>
                <w:b/>
                <w:bCs/>
                <w:color w:val="231F20" w:themeColor="text1"/>
                <w:szCs w:val="20"/>
                <w:lang w:val="nl-NL"/>
              </w:rPr>
              <w:lastRenderedPageBreak/>
              <w:t>Raportul Public Țară cu Țară</w:t>
            </w:r>
          </w:p>
          <w:p w14:paraId="7C17D978" w14:textId="77777777" w:rsidR="008C391F" w:rsidRPr="003B19EB" w:rsidRDefault="00340068" w:rsidP="00153EA0">
            <w:pPr>
              <w:pStyle w:val="LLNormal"/>
              <w:spacing w:line="240" w:lineRule="auto"/>
              <w:jc w:val="left"/>
              <w:rPr>
                <w:rFonts w:asciiTheme="majorHAnsi" w:eastAsiaTheme="minorHAnsi" w:hAnsiTheme="majorHAnsi" w:cstheme="minorBidi"/>
                <w:color w:val="231F20" w:themeColor="text1"/>
                <w:szCs w:val="20"/>
                <w:lang w:val="nl-NL"/>
              </w:rPr>
            </w:pPr>
            <w:r w:rsidRPr="003B19EB">
              <w:rPr>
                <w:rFonts w:asciiTheme="majorHAnsi" w:eastAsiaTheme="minorHAnsi" w:hAnsiTheme="majorHAnsi" w:cstheme="minorBidi"/>
                <w:color w:val="231F20" w:themeColor="text1"/>
                <w:szCs w:val="20"/>
                <w:lang w:val="nl-NL"/>
              </w:rPr>
              <w:t>IDS/GLS susține diferitele inițiative la nivel mondial pentru a obține o mai mare transparență corporativă. IDS/GLS consideră că transparența corporativă contribuie la o dezbatere publică mai bine informată cu privire la nivelul de conformitate fiscală al multinaționalelor. Transparența corporativă ajută la (re)câștigarea încrederii cetățenilor în echitatea sistemelor fiscale naționale.</w:t>
            </w:r>
            <w:r w:rsidRPr="003B19EB">
              <w:rPr>
                <w:rFonts w:asciiTheme="majorHAnsi" w:eastAsiaTheme="minorHAnsi" w:hAnsiTheme="majorHAnsi" w:cstheme="minorBidi"/>
                <w:color w:val="231F20" w:themeColor="text1"/>
                <w:szCs w:val="20"/>
                <w:lang w:val="nl-NL"/>
              </w:rPr>
              <w:br/>
              <w:t>Timp de mulți ani și cu mare interes, IDS/GLS a îmbrățișat inițiativa Comisiei Europene de a introduce raportarea publică pentru fiecare țară în parte, adică multinaționale care dezvăluie public informații despre unde sunt raportate profiturile și unde sunt plătite impozitele. Raportul public pentru fiecare țară în parte este un instrument pentru creșterea transparenței corporative și îmbunătățirea controlului public</w:t>
            </w:r>
          </w:p>
          <w:p w14:paraId="466F2745" w14:textId="77777777" w:rsidR="00570301" w:rsidRDefault="001C7854" w:rsidP="00570301">
            <w:pPr>
              <w:pStyle w:val="LLNormal"/>
              <w:spacing w:line="276" w:lineRule="auto"/>
              <w:jc w:val="left"/>
              <w:rPr>
                <w:rFonts w:asciiTheme="majorHAnsi" w:eastAsiaTheme="minorHAnsi" w:hAnsiTheme="majorHAnsi" w:cstheme="minorBidi"/>
                <w:color w:val="231F20" w:themeColor="text1"/>
                <w:szCs w:val="20"/>
                <w:lang w:val="nl-NL"/>
              </w:rPr>
            </w:pPr>
            <w:r w:rsidRPr="003B19EB">
              <w:rPr>
                <w:rFonts w:asciiTheme="majorHAnsi" w:eastAsiaTheme="minorHAnsi" w:hAnsiTheme="majorHAnsi" w:cstheme="minorBidi"/>
                <w:color w:val="231F20" w:themeColor="text1"/>
                <w:szCs w:val="20"/>
                <w:lang w:val="nl-NL"/>
              </w:rPr>
              <w:t>La 24 noiembrie 2021, Parlamentul European și-a publicat propunerea finală de raportare publică pentru fiecare țară în parte, sub forma unei modificări a Directivei 2013/34/UE privind contabilitatea existentă – și anume "Directiva (UE) 2021/2101 a Parlamentului European și a Consiliului din 24 noiembrie 2021 de modificare a Directivei 2013/34/UE în ceea ce privește publicarea informațiilor privind impozitul pe profit de către anumite întreprinderi și sucursale". Statele membre ale UE se asigură că actele cu putere de lege și actele administrative de transpunere a raportării publice pentru fiecare țară în parte se aplică cel târziu la 22 iunie 2024 sau după această dată. Statele membre pot permite ca una sau mai multe informații specifice care ar trebui altfel să fie divulgate să fie omise temporar din</w:t>
            </w:r>
            <w:r w:rsidR="00487B58">
              <w:rPr>
                <w:rFonts w:asciiTheme="majorHAnsi" w:eastAsiaTheme="minorHAnsi" w:hAnsiTheme="majorHAnsi" w:cstheme="minorBidi"/>
                <w:color w:val="231F20" w:themeColor="text1"/>
                <w:szCs w:val="20"/>
                <w:lang w:val="nl-NL"/>
              </w:rPr>
              <w:t xml:space="preserve"> </w:t>
            </w:r>
            <w:r w:rsidR="00487B58" w:rsidRPr="00487B58">
              <w:rPr>
                <w:rFonts w:asciiTheme="majorHAnsi" w:eastAsiaTheme="minorHAnsi" w:hAnsiTheme="majorHAnsi" w:cstheme="minorBidi"/>
                <w:color w:val="231F20" w:themeColor="text1"/>
                <w:szCs w:val="20"/>
                <w:lang w:val="nl-NL"/>
              </w:rPr>
              <w:t xml:space="preserve">raport în cazul în care divulgarea lor ar aduce un prejudiciu grav poziției comerciale a întreprinderilor la </w:t>
            </w:r>
            <w:r w:rsidR="00487B58" w:rsidRPr="00487B58">
              <w:rPr>
                <w:rFonts w:asciiTheme="majorHAnsi" w:eastAsiaTheme="minorHAnsi" w:hAnsiTheme="majorHAnsi" w:cstheme="minorBidi"/>
                <w:color w:val="231F20" w:themeColor="text1"/>
                <w:szCs w:val="20"/>
                <w:lang w:val="nl-NL"/>
              </w:rPr>
              <w:lastRenderedPageBreak/>
              <w:t>care se referă raportul. Orice omisiune este indicată în mod clar în raport, împreună cu o explicație motivată în mod corespunzător cu privire la motivele acesteia.</w:t>
            </w:r>
          </w:p>
          <w:p w14:paraId="17199CEB" w14:textId="4C507A43" w:rsidR="00B54A6B" w:rsidRPr="00570301" w:rsidRDefault="00B54A6B" w:rsidP="00570301">
            <w:pPr>
              <w:pStyle w:val="LLNormal"/>
              <w:spacing w:line="240" w:lineRule="auto"/>
              <w:rPr>
                <w:rFonts w:asciiTheme="majorHAnsi" w:hAnsiTheme="majorHAnsi"/>
                <w:szCs w:val="20"/>
              </w:rPr>
            </w:pPr>
            <w:proofErr w:type="spellStart"/>
            <w:r w:rsidRPr="008E6306">
              <w:rPr>
                <w:rFonts w:asciiTheme="majorHAnsi" w:hAnsiTheme="majorHAnsi"/>
                <w:szCs w:val="20"/>
              </w:rPr>
              <w:t>România</w:t>
            </w:r>
            <w:proofErr w:type="spellEnd"/>
            <w:r w:rsidRPr="008E6306">
              <w:rPr>
                <w:rFonts w:asciiTheme="majorHAnsi" w:hAnsiTheme="majorHAnsi"/>
                <w:szCs w:val="20"/>
              </w:rPr>
              <w:t xml:space="preserve"> </w:t>
            </w:r>
            <w:proofErr w:type="spellStart"/>
            <w:r w:rsidRPr="008E6306">
              <w:rPr>
                <w:rFonts w:asciiTheme="majorHAnsi" w:hAnsiTheme="majorHAnsi"/>
                <w:szCs w:val="20"/>
              </w:rPr>
              <w:t>este</w:t>
            </w:r>
            <w:proofErr w:type="spellEnd"/>
            <w:r w:rsidRPr="008E6306">
              <w:rPr>
                <w:rFonts w:asciiTheme="majorHAnsi" w:hAnsiTheme="majorHAnsi"/>
                <w:szCs w:val="20"/>
              </w:rPr>
              <w:t xml:space="preserve"> </w:t>
            </w:r>
            <w:proofErr w:type="spellStart"/>
            <w:r w:rsidRPr="008E6306">
              <w:rPr>
                <w:rFonts w:asciiTheme="majorHAnsi" w:hAnsiTheme="majorHAnsi"/>
                <w:szCs w:val="20"/>
              </w:rPr>
              <w:t>primul</w:t>
            </w:r>
            <w:proofErr w:type="spellEnd"/>
            <w:r w:rsidRPr="008E6306">
              <w:rPr>
                <w:rFonts w:asciiTheme="majorHAnsi" w:hAnsiTheme="majorHAnsi"/>
                <w:szCs w:val="20"/>
              </w:rPr>
              <w:t xml:space="preserve"> stat </w:t>
            </w:r>
            <w:proofErr w:type="spellStart"/>
            <w:r w:rsidRPr="008E6306">
              <w:rPr>
                <w:rFonts w:asciiTheme="majorHAnsi" w:hAnsiTheme="majorHAnsi"/>
                <w:szCs w:val="20"/>
              </w:rPr>
              <w:t>membru</w:t>
            </w:r>
            <w:proofErr w:type="spellEnd"/>
            <w:r w:rsidRPr="008E6306">
              <w:rPr>
                <w:rFonts w:asciiTheme="majorHAnsi" w:hAnsiTheme="majorHAnsi"/>
                <w:szCs w:val="20"/>
              </w:rPr>
              <w:t xml:space="preserve"> al UE care a transpus raportarea publică pentru fiecare țară în parte în legislația națională. În calitate de furnizor internațional de servicii de coletărie, IDS/GLS are o prezență la nivelul UE și, de asemenea, în România. Pentru a fi în conformitate cu legislația română, IDS/GLS respectă prezentarea vizuală și conținutul raportării publice pentru fiecare țară în parte, așa cum este prevăzut în Anexa I la proiectul de regulament de punere în aplicare al Comisiei Europene – și anume "Regulamentul de punere în aplicare (UE) al Comisiei ... / ... din XXX de stabilire a unui model comun și a unor formate electronice de raportare pentru aplicarea Directivei 2013/34/UE a Parlamentului European și a Consiliului în ceea ce privește informațiile care trebuie prezentate în rapoartele privind informațiile privind impozitul pe profit" și </w:t>
            </w:r>
            <w:proofErr w:type="spellStart"/>
            <w:r w:rsidRPr="008E6306">
              <w:rPr>
                <w:rFonts w:asciiTheme="majorHAnsi" w:hAnsiTheme="majorHAnsi"/>
                <w:szCs w:val="20"/>
              </w:rPr>
              <w:t>astfel</w:t>
            </w:r>
            <w:proofErr w:type="spellEnd"/>
            <w:r w:rsidRPr="008E6306">
              <w:rPr>
                <w:rFonts w:asciiTheme="majorHAnsi" w:hAnsiTheme="majorHAnsi"/>
                <w:szCs w:val="20"/>
              </w:rPr>
              <w:t xml:space="preserve"> cum se </w:t>
            </w:r>
            <w:proofErr w:type="spellStart"/>
            <w:r w:rsidRPr="008E6306">
              <w:rPr>
                <w:rFonts w:asciiTheme="majorHAnsi" w:hAnsiTheme="majorHAnsi"/>
                <w:szCs w:val="20"/>
              </w:rPr>
              <w:t>prevede</w:t>
            </w:r>
            <w:proofErr w:type="spellEnd"/>
            <w:r w:rsidRPr="008E6306">
              <w:rPr>
                <w:rFonts w:asciiTheme="majorHAnsi" w:hAnsiTheme="majorHAnsi"/>
                <w:szCs w:val="20"/>
              </w:rPr>
              <w:t xml:space="preserve"> </w:t>
            </w:r>
            <w:proofErr w:type="spellStart"/>
            <w:r w:rsidRPr="008E6306">
              <w:rPr>
                <w:rFonts w:asciiTheme="majorHAnsi" w:hAnsiTheme="majorHAnsi"/>
                <w:szCs w:val="20"/>
              </w:rPr>
              <w:t>mai</w:t>
            </w:r>
            <w:proofErr w:type="spellEnd"/>
            <w:r w:rsidRPr="008E6306">
              <w:rPr>
                <w:rFonts w:asciiTheme="majorHAnsi" w:hAnsiTheme="majorHAnsi"/>
                <w:szCs w:val="20"/>
              </w:rPr>
              <w:t xml:space="preserve"> </w:t>
            </w:r>
            <w:proofErr w:type="spellStart"/>
            <w:r w:rsidRPr="008E6306">
              <w:rPr>
                <w:rFonts w:asciiTheme="majorHAnsi" w:hAnsiTheme="majorHAnsi"/>
                <w:szCs w:val="20"/>
              </w:rPr>
              <w:t>jos.</w:t>
            </w:r>
            <w:proofErr w:type="spellEnd"/>
          </w:p>
          <w:p w14:paraId="52B23E40" w14:textId="77777777" w:rsidR="00EA35D4" w:rsidRDefault="00EA35D4" w:rsidP="00153EA0">
            <w:pPr>
              <w:pStyle w:val="LLNormal"/>
              <w:spacing w:line="240" w:lineRule="auto"/>
              <w:rPr>
                <w:rFonts w:asciiTheme="majorHAnsi" w:hAnsiTheme="majorHAnsi"/>
                <w:b/>
                <w:bCs/>
                <w:szCs w:val="20"/>
              </w:rPr>
            </w:pPr>
            <w:proofErr w:type="spellStart"/>
            <w:r w:rsidRPr="00EA35D4">
              <w:rPr>
                <w:rFonts w:asciiTheme="majorHAnsi" w:hAnsiTheme="majorHAnsi"/>
                <w:b/>
                <w:bCs/>
                <w:szCs w:val="20"/>
              </w:rPr>
              <w:t>Secțiunea</w:t>
            </w:r>
            <w:proofErr w:type="spellEnd"/>
            <w:r w:rsidRPr="00EA35D4">
              <w:rPr>
                <w:rFonts w:asciiTheme="majorHAnsi" w:hAnsiTheme="majorHAnsi"/>
                <w:b/>
                <w:bCs/>
                <w:szCs w:val="20"/>
              </w:rPr>
              <w:t xml:space="preserve"> 1 – </w:t>
            </w:r>
            <w:proofErr w:type="spellStart"/>
            <w:r w:rsidRPr="00EA35D4">
              <w:rPr>
                <w:rFonts w:asciiTheme="majorHAnsi" w:hAnsiTheme="majorHAnsi"/>
                <w:b/>
                <w:bCs/>
                <w:szCs w:val="20"/>
              </w:rPr>
              <w:t>Informații</w:t>
            </w:r>
            <w:proofErr w:type="spellEnd"/>
            <w:r w:rsidRPr="00EA35D4">
              <w:rPr>
                <w:rFonts w:asciiTheme="majorHAnsi" w:hAnsiTheme="majorHAnsi"/>
                <w:b/>
                <w:bCs/>
                <w:szCs w:val="20"/>
              </w:rPr>
              <w:t xml:space="preserve"> generale</w:t>
            </w:r>
          </w:p>
          <w:tbl>
            <w:tblPr>
              <w:tblStyle w:val="TableGrid"/>
              <w:tblW w:w="7413" w:type="dxa"/>
              <w:tblLayout w:type="fixed"/>
              <w:tblLook w:val="04A0" w:firstRow="1" w:lastRow="0" w:firstColumn="1" w:lastColumn="0" w:noHBand="0" w:noVBand="1"/>
            </w:tblPr>
            <w:tblGrid>
              <w:gridCol w:w="3169"/>
              <w:gridCol w:w="4244"/>
            </w:tblGrid>
            <w:tr w:rsidR="0040799F" w:rsidRPr="00E22409" w14:paraId="68DB80BC" w14:textId="77777777" w:rsidTr="00B20FE1">
              <w:trPr>
                <w:trHeight w:val="580"/>
              </w:trPr>
              <w:tc>
                <w:tcPr>
                  <w:tcW w:w="3169" w:type="dxa"/>
                </w:tcPr>
                <w:p w14:paraId="1B0B064D" w14:textId="2B58F05D" w:rsidR="0040799F" w:rsidRPr="00E22409" w:rsidRDefault="00B35F24" w:rsidP="0040799F">
                  <w:pPr>
                    <w:pStyle w:val="LLNormal"/>
                    <w:spacing w:line="240" w:lineRule="auto"/>
                    <w:rPr>
                      <w:rFonts w:asciiTheme="majorHAnsi" w:hAnsiTheme="majorHAnsi"/>
                      <w:sz w:val="16"/>
                      <w:szCs w:val="16"/>
                    </w:rPr>
                  </w:pPr>
                  <w:r w:rsidRPr="00B35F24">
                    <w:rPr>
                      <w:rFonts w:asciiTheme="majorHAnsi" w:hAnsiTheme="majorHAnsi"/>
                      <w:sz w:val="16"/>
                      <w:szCs w:val="16"/>
                      <w:lang w:val="nl-NL"/>
                    </w:rPr>
                    <w:t>Denumirea societății mamă finale a grupului / a întreprinderii independente </w:t>
                  </w:r>
                </w:p>
              </w:tc>
              <w:tc>
                <w:tcPr>
                  <w:tcW w:w="4244" w:type="dxa"/>
                  <w:vAlign w:val="center"/>
                </w:tcPr>
                <w:p w14:paraId="10FD84C7"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International Distribution Services Plc.</w:t>
                  </w:r>
                </w:p>
              </w:tc>
            </w:tr>
            <w:tr w:rsidR="0040799F" w:rsidRPr="00E22409" w14:paraId="25B0A74F" w14:textId="77777777" w:rsidTr="00B20FE1">
              <w:trPr>
                <w:trHeight w:val="560"/>
              </w:trPr>
              <w:tc>
                <w:tcPr>
                  <w:tcW w:w="3169" w:type="dxa"/>
                </w:tcPr>
                <w:p w14:paraId="47E6A036" w14:textId="4680542F" w:rsidR="0040799F" w:rsidRPr="00E22409" w:rsidRDefault="00E3594F" w:rsidP="0040799F">
                  <w:pPr>
                    <w:pStyle w:val="LLNormal"/>
                    <w:spacing w:line="240" w:lineRule="auto"/>
                    <w:rPr>
                      <w:rFonts w:asciiTheme="majorHAnsi" w:hAnsiTheme="majorHAnsi"/>
                      <w:sz w:val="16"/>
                      <w:szCs w:val="16"/>
                    </w:rPr>
                  </w:pPr>
                  <w:r w:rsidRPr="00E3594F">
                    <w:rPr>
                      <w:rFonts w:asciiTheme="majorHAnsi" w:hAnsiTheme="majorHAnsi"/>
                      <w:sz w:val="16"/>
                      <w:szCs w:val="16"/>
                      <w:lang w:val="nl-NL"/>
                    </w:rPr>
                    <w:t>Țara în care mama finală își are sediul social </w:t>
                  </w:r>
                </w:p>
              </w:tc>
              <w:tc>
                <w:tcPr>
                  <w:tcW w:w="4244" w:type="dxa"/>
                  <w:vAlign w:val="center"/>
                </w:tcPr>
                <w:p w14:paraId="759D1161"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United Kingdom</w:t>
                  </w:r>
                </w:p>
              </w:tc>
            </w:tr>
            <w:tr w:rsidR="0040799F" w:rsidRPr="00E22409" w14:paraId="205B34BE" w14:textId="77777777" w:rsidTr="00B20FE1">
              <w:trPr>
                <w:trHeight w:val="400"/>
              </w:trPr>
              <w:tc>
                <w:tcPr>
                  <w:tcW w:w="3169" w:type="dxa"/>
                </w:tcPr>
                <w:p w14:paraId="050F38ED" w14:textId="219C7E54" w:rsidR="0040799F" w:rsidRPr="00E22409" w:rsidRDefault="00E3594F" w:rsidP="0040799F">
                  <w:pPr>
                    <w:pStyle w:val="LLNormal"/>
                    <w:spacing w:line="240" w:lineRule="auto"/>
                    <w:rPr>
                      <w:rFonts w:asciiTheme="majorHAnsi" w:hAnsiTheme="majorHAnsi"/>
                      <w:sz w:val="16"/>
                      <w:szCs w:val="16"/>
                    </w:rPr>
                  </w:pPr>
                  <w:r w:rsidRPr="00E3594F">
                    <w:rPr>
                      <w:rFonts w:asciiTheme="majorHAnsi" w:hAnsiTheme="majorHAnsi"/>
                      <w:sz w:val="16"/>
                      <w:szCs w:val="16"/>
                      <w:lang w:val="nl-NL"/>
                    </w:rPr>
                    <w:t>Exercițiu financiar – data de începere</w:t>
                  </w:r>
                </w:p>
              </w:tc>
              <w:tc>
                <w:tcPr>
                  <w:tcW w:w="4244" w:type="dxa"/>
                  <w:vAlign w:val="center"/>
                </w:tcPr>
                <w:p w14:paraId="34078A8E"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2023-April-01</w:t>
                  </w:r>
                </w:p>
              </w:tc>
            </w:tr>
            <w:tr w:rsidR="0040799F" w:rsidRPr="00E22409" w14:paraId="6D0C4CFC" w14:textId="77777777" w:rsidTr="00B20FE1">
              <w:trPr>
                <w:trHeight w:val="380"/>
              </w:trPr>
              <w:tc>
                <w:tcPr>
                  <w:tcW w:w="3169" w:type="dxa"/>
                </w:tcPr>
                <w:p w14:paraId="6603179E" w14:textId="4C10B1D0" w:rsidR="0040799F" w:rsidRPr="00E22409" w:rsidRDefault="00E3594F" w:rsidP="0040799F">
                  <w:pPr>
                    <w:pStyle w:val="LLNormal"/>
                    <w:spacing w:line="240" w:lineRule="auto"/>
                    <w:rPr>
                      <w:rFonts w:asciiTheme="majorHAnsi" w:hAnsiTheme="majorHAnsi"/>
                      <w:sz w:val="16"/>
                      <w:szCs w:val="16"/>
                    </w:rPr>
                  </w:pPr>
                  <w:r w:rsidRPr="00E3594F">
                    <w:rPr>
                      <w:rFonts w:asciiTheme="majorHAnsi" w:hAnsiTheme="majorHAnsi"/>
                      <w:sz w:val="16"/>
                      <w:szCs w:val="16"/>
                      <w:lang w:val="nl-NL"/>
                    </w:rPr>
                    <w:t>Exercițiu financiar – data de încheiere</w:t>
                  </w:r>
                </w:p>
              </w:tc>
              <w:tc>
                <w:tcPr>
                  <w:tcW w:w="4244" w:type="dxa"/>
                  <w:vAlign w:val="center"/>
                </w:tcPr>
                <w:p w14:paraId="1FADE3E3"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2024-March-31</w:t>
                  </w:r>
                </w:p>
              </w:tc>
            </w:tr>
            <w:tr w:rsidR="0040799F" w:rsidRPr="00E22409" w14:paraId="2345EF7D" w14:textId="77777777" w:rsidTr="00B20FE1">
              <w:trPr>
                <w:trHeight w:val="400"/>
              </w:trPr>
              <w:tc>
                <w:tcPr>
                  <w:tcW w:w="3169" w:type="dxa"/>
                </w:tcPr>
                <w:p w14:paraId="0BF2515E" w14:textId="30A6DAAF" w:rsidR="0040799F" w:rsidRPr="00E22409" w:rsidRDefault="002A73F8" w:rsidP="0040799F">
                  <w:pPr>
                    <w:pStyle w:val="LLNormal"/>
                    <w:spacing w:line="240" w:lineRule="auto"/>
                    <w:rPr>
                      <w:rFonts w:asciiTheme="majorHAnsi" w:hAnsiTheme="majorHAnsi"/>
                      <w:sz w:val="16"/>
                      <w:szCs w:val="16"/>
                    </w:rPr>
                  </w:pPr>
                  <w:r w:rsidRPr="002A73F8">
                    <w:rPr>
                      <w:rFonts w:asciiTheme="majorHAnsi" w:hAnsiTheme="majorHAnsi"/>
                      <w:sz w:val="16"/>
                      <w:szCs w:val="16"/>
                      <w:lang w:val="nl-NL"/>
                    </w:rPr>
                    <w:t>Moneda de raportare</w:t>
                  </w:r>
                </w:p>
              </w:tc>
              <w:tc>
                <w:tcPr>
                  <w:tcW w:w="4244" w:type="dxa"/>
                  <w:vAlign w:val="center"/>
                </w:tcPr>
                <w:p w14:paraId="6A283353"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GBP</w:t>
                  </w:r>
                </w:p>
              </w:tc>
            </w:tr>
            <w:tr w:rsidR="0040799F" w:rsidRPr="00E22409" w14:paraId="797E4315" w14:textId="77777777" w:rsidTr="00B20FE1">
              <w:trPr>
                <w:trHeight w:val="1141"/>
              </w:trPr>
              <w:tc>
                <w:tcPr>
                  <w:tcW w:w="3169" w:type="dxa"/>
                </w:tcPr>
                <w:p w14:paraId="4D015D4F" w14:textId="40FC61DB" w:rsidR="0040799F" w:rsidRPr="00E22409" w:rsidRDefault="002A73F8" w:rsidP="0040799F">
                  <w:pPr>
                    <w:pStyle w:val="LLNormal"/>
                    <w:spacing w:line="240" w:lineRule="auto"/>
                    <w:rPr>
                      <w:rFonts w:asciiTheme="majorHAnsi" w:hAnsiTheme="majorHAnsi"/>
                      <w:sz w:val="16"/>
                      <w:szCs w:val="16"/>
                    </w:rPr>
                  </w:pPr>
                  <w:r w:rsidRPr="002A73F8">
                    <w:rPr>
                      <w:rFonts w:asciiTheme="majorHAnsi" w:hAnsiTheme="majorHAnsi"/>
                      <w:sz w:val="16"/>
                      <w:szCs w:val="16"/>
                      <w:lang w:val="nl-NL"/>
                    </w:rPr>
                    <w:lastRenderedPageBreak/>
                    <w:t>Informațiile din raport se bazează pe instrucțiuni de raportare utilizate în scopuri fiscale, în conformitate cu secțiunea III părțile B și C din anexa III la Directiva 2011/16/UE a Consiliului (da/nu)?</w:t>
                  </w:r>
                </w:p>
              </w:tc>
              <w:tc>
                <w:tcPr>
                  <w:tcW w:w="4244" w:type="dxa"/>
                  <w:vAlign w:val="center"/>
                </w:tcPr>
                <w:p w14:paraId="486583CE" w14:textId="77777777" w:rsidR="0040799F" w:rsidRPr="00E22409" w:rsidRDefault="0040799F" w:rsidP="0040799F">
                  <w:pPr>
                    <w:pStyle w:val="LLNormal"/>
                    <w:spacing w:line="240" w:lineRule="auto"/>
                    <w:jc w:val="left"/>
                    <w:rPr>
                      <w:rFonts w:asciiTheme="majorHAnsi" w:hAnsiTheme="majorHAnsi"/>
                      <w:sz w:val="16"/>
                      <w:szCs w:val="16"/>
                    </w:rPr>
                  </w:pPr>
                  <w:r w:rsidRPr="00E22409">
                    <w:rPr>
                      <w:rFonts w:asciiTheme="majorHAnsi" w:hAnsiTheme="majorHAnsi"/>
                      <w:sz w:val="16"/>
                      <w:szCs w:val="16"/>
                    </w:rPr>
                    <w:t>Yes</w:t>
                  </w:r>
                </w:p>
              </w:tc>
            </w:tr>
          </w:tbl>
          <w:p w14:paraId="775144E8" w14:textId="77777777" w:rsidR="0040799F" w:rsidRDefault="0040799F" w:rsidP="00153EA0">
            <w:pPr>
              <w:pStyle w:val="LLNormal"/>
              <w:spacing w:line="240" w:lineRule="auto"/>
              <w:rPr>
                <w:b/>
                <w:bCs/>
                <w:szCs w:val="20"/>
                <w:lang w:val="nl-NL"/>
              </w:rPr>
            </w:pPr>
          </w:p>
          <w:p w14:paraId="2878F122" w14:textId="77777777" w:rsidR="008931FA" w:rsidRDefault="008931FA" w:rsidP="00153EA0">
            <w:pPr>
              <w:pStyle w:val="LLNormal"/>
              <w:spacing w:line="240" w:lineRule="auto"/>
              <w:rPr>
                <w:rFonts w:asciiTheme="majorHAnsi" w:hAnsiTheme="majorHAnsi"/>
                <w:b/>
                <w:bCs/>
                <w:szCs w:val="20"/>
                <w:lang w:val="nl-NL"/>
              </w:rPr>
            </w:pPr>
            <w:r w:rsidRPr="008931FA">
              <w:rPr>
                <w:rFonts w:asciiTheme="majorHAnsi" w:hAnsiTheme="majorHAnsi"/>
                <w:b/>
                <w:bCs/>
                <w:szCs w:val="20"/>
                <w:lang w:val="nl-NL"/>
              </w:rPr>
              <w:t>Secțiunea 2 – Prezentare generală a alocării elementelor pentru fiecare țară în parte</w:t>
            </w:r>
          </w:p>
          <w:tbl>
            <w:tblPr>
              <w:tblStyle w:val="TableGrid"/>
              <w:tblW w:w="7496" w:type="dxa"/>
              <w:tblLayout w:type="fixed"/>
              <w:tblLook w:val="04A0" w:firstRow="1" w:lastRow="0" w:firstColumn="1" w:lastColumn="0" w:noHBand="0" w:noVBand="1"/>
            </w:tblPr>
            <w:tblGrid>
              <w:gridCol w:w="935"/>
              <w:gridCol w:w="916"/>
              <w:gridCol w:w="925"/>
              <w:gridCol w:w="912"/>
              <w:gridCol w:w="882"/>
              <w:gridCol w:w="946"/>
              <w:gridCol w:w="1034"/>
              <w:gridCol w:w="946"/>
            </w:tblGrid>
            <w:tr w:rsidR="006F3D35" w:rsidRPr="000D6AB4" w14:paraId="736D92B1" w14:textId="77777777" w:rsidTr="00E31580">
              <w:trPr>
                <w:trHeight w:val="1264"/>
              </w:trPr>
              <w:tc>
                <w:tcPr>
                  <w:tcW w:w="935" w:type="dxa"/>
                </w:tcPr>
                <w:p w14:paraId="42C7656A" w14:textId="6680AC34" w:rsidR="006F3D35" w:rsidRPr="000D6AB4" w:rsidRDefault="00683EBC" w:rsidP="006F3D35">
                  <w:pPr>
                    <w:pStyle w:val="LLNormal"/>
                    <w:spacing w:line="240" w:lineRule="auto"/>
                    <w:rPr>
                      <w:rFonts w:asciiTheme="majorHAnsi" w:hAnsiTheme="majorHAnsi"/>
                      <w:b/>
                      <w:bCs/>
                      <w:sz w:val="14"/>
                      <w:szCs w:val="14"/>
                    </w:rPr>
                  </w:pPr>
                  <w:r w:rsidRPr="000D6AB4">
                    <w:rPr>
                      <w:rFonts w:asciiTheme="majorHAnsi" w:hAnsiTheme="majorHAnsi"/>
                      <w:b/>
                      <w:bCs/>
                      <w:sz w:val="14"/>
                      <w:szCs w:val="14"/>
                      <w:lang w:val="nl-NL"/>
                    </w:rPr>
                    <w:t>Jurisdicție fiscală</w:t>
                  </w:r>
                </w:p>
              </w:tc>
              <w:tc>
                <w:tcPr>
                  <w:tcW w:w="916" w:type="dxa"/>
                </w:tcPr>
                <w:p w14:paraId="768A78F5" w14:textId="4518E10D" w:rsidR="006F3D35" w:rsidRPr="000D6AB4" w:rsidRDefault="00683EBC" w:rsidP="006F3D35">
                  <w:pPr>
                    <w:pStyle w:val="LLNormal"/>
                    <w:spacing w:line="240" w:lineRule="auto"/>
                    <w:rPr>
                      <w:rFonts w:asciiTheme="majorHAnsi" w:hAnsiTheme="majorHAnsi"/>
                      <w:b/>
                      <w:bCs/>
                      <w:sz w:val="14"/>
                      <w:szCs w:val="14"/>
                    </w:rPr>
                  </w:pPr>
                  <w:r w:rsidRPr="000D6AB4">
                    <w:rPr>
                      <w:rFonts w:asciiTheme="majorHAnsi" w:hAnsiTheme="majorHAnsi"/>
                      <w:b/>
                      <w:bCs/>
                      <w:sz w:val="14"/>
                      <w:szCs w:val="14"/>
                      <w:lang w:val="nl-NL"/>
                    </w:rPr>
                    <w:t>Codul țării</w:t>
                  </w:r>
                </w:p>
              </w:tc>
              <w:tc>
                <w:tcPr>
                  <w:tcW w:w="925" w:type="dxa"/>
                </w:tcPr>
                <w:p w14:paraId="394F4CF6" w14:textId="1BDCBD46" w:rsidR="006F3D35" w:rsidRPr="000D6AB4" w:rsidRDefault="0076194E" w:rsidP="006F3D35">
                  <w:pPr>
                    <w:pStyle w:val="LLNormal"/>
                    <w:spacing w:line="240" w:lineRule="auto"/>
                    <w:rPr>
                      <w:rFonts w:asciiTheme="majorHAnsi" w:hAnsiTheme="majorHAnsi"/>
                      <w:b/>
                      <w:bCs/>
                      <w:sz w:val="14"/>
                      <w:szCs w:val="14"/>
                    </w:rPr>
                  </w:pPr>
                  <w:proofErr w:type="spellStart"/>
                  <w:r w:rsidRPr="000D6AB4">
                    <w:rPr>
                      <w:rFonts w:asciiTheme="majorHAnsi" w:hAnsiTheme="majorHAnsi"/>
                      <w:b/>
                      <w:bCs/>
                      <w:sz w:val="14"/>
                      <w:szCs w:val="14"/>
                    </w:rPr>
                    <w:t>Venituri</w:t>
                  </w:r>
                  <w:proofErr w:type="spellEnd"/>
                </w:p>
              </w:tc>
              <w:tc>
                <w:tcPr>
                  <w:tcW w:w="912" w:type="dxa"/>
                </w:tcPr>
                <w:p w14:paraId="324839E2" w14:textId="712BC905" w:rsidR="006F3D35" w:rsidRPr="000D6AB4" w:rsidRDefault="004427F3" w:rsidP="006F3D35">
                  <w:pPr>
                    <w:pStyle w:val="LLNormal"/>
                    <w:spacing w:line="240" w:lineRule="auto"/>
                    <w:rPr>
                      <w:rFonts w:asciiTheme="majorHAnsi" w:hAnsiTheme="majorHAnsi"/>
                      <w:b/>
                      <w:bCs/>
                      <w:sz w:val="14"/>
                      <w:szCs w:val="14"/>
                    </w:rPr>
                  </w:pPr>
                  <w:r w:rsidRPr="000D6AB4">
                    <w:rPr>
                      <w:rFonts w:asciiTheme="majorHAnsi" w:hAnsiTheme="majorHAnsi"/>
                      <w:b/>
                      <w:bCs/>
                      <w:sz w:val="14"/>
                      <w:szCs w:val="14"/>
                      <w:lang w:val="nl-NL"/>
                    </w:rPr>
                    <w:t>Profit (pierdere) înainte de impozit pe profit</w:t>
                  </w:r>
                </w:p>
              </w:tc>
              <w:tc>
                <w:tcPr>
                  <w:tcW w:w="882" w:type="dxa"/>
                </w:tcPr>
                <w:p w14:paraId="17E155A4" w14:textId="28619593" w:rsidR="006F3D35" w:rsidRPr="000D6AB4" w:rsidRDefault="00BF1D6A" w:rsidP="006F3D35">
                  <w:pPr>
                    <w:pStyle w:val="LLNormal"/>
                    <w:spacing w:line="240" w:lineRule="auto"/>
                    <w:rPr>
                      <w:rFonts w:asciiTheme="majorHAnsi" w:hAnsiTheme="majorHAnsi"/>
                      <w:b/>
                      <w:bCs/>
                      <w:sz w:val="14"/>
                      <w:szCs w:val="14"/>
                    </w:rPr>
                  </w:pPr>
                  <w:r w:rsidRPr="00BF1D6A">
                    <w:rPr>
                      <w:rFonts w:asciiTheme="majorHAnsi" w:hAnsiTheme="majorHAnsi"/>
                      <w:b/>
                      <w:bCs/>
                      <w:sz w:val="14"/>
                      <w:szCs w:val="14"/>
                      <w:lang w:val="nl-NL"/>
                    </w:rPr>
                    <w:t xml:space="preserve">Impozit pe </w:t>
                  </w:r>
                  <w:r w:rsidR="00E31580">
                    <w:rPr>
                      <w:rFonts w:asciiTheme="majorHAnsi" w:hAnsiTheme="majorHAnsi"/>
                      <w:b/>
                      <w:bCs/>
                      <w:sz w:val="14"/>
                      <w:szCs w:val="14"/>
                      <w:lang w:val="nl-NL"/>
                    </w:rPr>
                    <w:t>profit</w:t>
                  </w:r>
                  <w:r w:rsidRPr="00BF1D6A">
                    <w:rPr>
                      <w:rFonts w:asciiTheme="majorHAnsi" w:hAnsiTheme="majorHAnsi"/>
                      <w:b/>
                      <w:bCs/>
                      <w:sz w:val="14"/>
                      <w:szCs w:val="14"/>
                      <w:lang w:val="nl-NL"/>
                    </w:rPr>
                    <w:t xml:space="preserve"> plătit </w:t>
                  </w:r>
                </w:p>
              </w:tc>
              <w:tc>
                <w:tcPr>
                  <w:tcW w:w="946" w:type="dxa"/>
                </w:tcPr>
                <w:p w14:paraId="3A9F3372" w14:textId="05A5CD5B" w:rsidR="006F3D35" w:rsidRPr="000D6AB4" w:rsidRDefault="00BF1D6A" w:rsidP="006F3D35">
                  <w:pPr>
                    <w:pStyle w:val="LLNormal"/>
                    <w:spacing w:line="240" w:lineRule="auto"/>
                    <w:rPr>
                      <w:rFonts w:asciiTheme="majorHAnsi" w:hAnsiTheme="majorHAnsi"/>
                      <w:b/>
                      <w:bCs/>
                      <w:sz w:val="14"/>
                      <w:szCs w:val="14"/>
                    </w:rPr>
                  </w:pPr>
                  <w:r w:rsidRPr="00BF1D6A">
                    <w:rPr>
                      <w:rFonts w:asciiTheme="majorHAnsi" w:hAnsiTheme="majorHAnsi"/>
                      <w:b/>
                      <w:bCs/>
                      <w:sz w:val="14"/>
                      <w:szCs w:val="14"/>
                      <w:lang w:val="nl-NL"/>
                    </w:rPr>
                    <w:t xml:space="preserve">Impozit pe </w:t>
                  </w:r>
                  <w:r w:rsidR="00E31580">
                    <w:rPr>
                      <w:rFonts w:asciiTheme="majorHAnsi" w:hAnsiTheme="majorHAnsi"/>
                      <w:b/>
                      <w:bCs/>
                      <w:sz w:val="14"/>
                      <w:szCs w:val="14"/>
                      <w:lang w:val="nl-NL"/>
                    </w:rPr>
                    <w:t>profit</w:t>
                  </w:r>
                  <w:r w:rsidRPr="00BF1D6A">
                    <w:rPr>
                      <w:rFonts w:asciiTheme="majorHAnsi" w:hAnsiTheme="majorHAnsi"/>
                      <w:b/>
                      <w:bCs/>
                      <w:sz w:val="14"/>
                      <w:szCs w:val="14"/>
                      <w:lang w:val="nl-NL"/>
                    </w:rPr>
                    <w:t xml:space="preserve"> </w:t>
                  </w:r>
                  <w:r w:rsidR="00E31580">
                    <w:rPr>
                      <w:rFonts w:asciiTheme="majorHAnsi" w:hAnsiTheme="majorHAnsi"/>
                      <w:b/>
                      <w:bCs/>
                      <w:sz w:val="14"/>
                      <w:szCs w:val="14"/>
                      <w:lang w:val="nl-NL"/>
                    </w:rPr>
                    <w:t>înregistrat</w:t>
                  </w:r>
                  <w:r w:rsidRPr="00BF1D6A">
                    <w:rPr>
                      <w:rFonts w:asciiTheme="majorHAnsi" w:hAnsiTheme="majorHAnsi"/>
                      <w:b/>
                      <w:bCs/>
                      <w:sz w:val="14"/>
                      <w:szCs w:val="14"/>
                      <w:lang w:val="nl-NL"/>
                    </w:rPr>
                    <w:t xml:space="preserve"> - anul curent</w:t>
                  </w:r>
                </w:p>
              </w:tc>
              <w:tc>
                <w:tcPr>
                  <w:tcW w:w="1034" w:type="dxa"/>
                </w:tcPr>
                <w:p w14:paraId="08855F1B" w14:textId="0EB14600" w:rsidR="006F3D35" w:rsidRPr="000D6AB4" w:rsidRDefault="00BA1DE2" w:rsidP="006F3D35">
                  <w:pPr>
                    <w:pStyle w:val="LLNormal"/>
                    <w:spacing w:line="240" w:lineRule="auto"/>
                    <w:rPr>
                      <w:rFonts w:asciiTheme="majorHAnsi" w:hAnsiTheme="majorHAnsi"/>
                      <w:b/>
                      <w:bCs/>
                      <w:sz w:val="14"/>
                      <w:szCs w:val="14"/>
                    </w:rPr>
                  </w:pPr>
                  <w:r w:rsidRPr="00BA1DE2">
                    <w:rPr>
                      <w:rFonts w:asciiTheme="majorHAnsi" w:hAnsiTheme="majorHAnsi"/>
                      <w:b/>
                      <w:bCs/>
                      <w:sz w:val="14"/>
                      <w:szCs w:val="14"/>
                      <w:lang w:val="nl-NL"/>
                    </w:rPr>
                    <w:t>Câștig</w:t>
                  </w:r>
                  <w:r>
                    <w:rPr>
                      <w:rFonts w:asciiTheme="majorHAnsi" w:hAnsiTheme="majorHAnsi"/>
                      <w:b/>
                      <w:bCs/>
                      <w:sz w:val="14"/>
                      <w:szCs w:val="14"/>
                      <w:lang w:val="nl-NL"/>
                    </w:rPr>
                    <w:t xml:space="preserve"> </w:t>
                  </w:r>
                  <w:r w:rsidRPr="00BA1DE2">
                    <w:rPr>
                      <w:rFonts w:asciiTheme="majorHAnsi" w:hAnsiTheme="majorHAnsi"/>
                      <w:b/>
                      <w:bCs/>
                      <w:sz w:val="14"/>
                      <w:szCs w:val="14"/>
                      <w:lang w:val="nl-NL"/>
                    </w:rPr>
                    <w:t>acumulat</w:t>
                  </w:r>
                </w:p>
              </w:tc>
              <w:tc>
                <w:tcPr>
                  <w:tcW w:w="946" w:type="dxa"/>
                </w:tcPr>
                <w:p w14:paraId="7F9E353E" w14:textId="7FE17E00" w:rsidR="006F3D35" w:rsidRPr="000D6AB4" w:rsidRDefault="00BA1DE2" w:rsidP="006F3D35">
                  <w:pPr>
                    <w:pStyle w:val="LLNormal"/>
                    <w:spacing w:line="240" w:lineRule="auto"/>
                    <w:rPr>
                      <w:rFonts w:asciiTheme="majorHAnsi" w:hAnsiTheme="majorHAnsi"/>
                      <w:b/>
                      <w:bCs/>
                      <w:sz w:val="14"/>
                      <w:szCs w:val="14"/>
                    </w:rPr>
                  </w:pPr>
                  <w:r w:rsidRPr="00BA1DE2">
                    <w:rPr>
                      <w:rFonts w:asciiTheme="majorHAnsi" w:hAnsiTheme="majorHAnsi"/>
                      <w:b/>
                      <w:bCs/>
                      <w:sz w:val="14"/>
                      <w:szCs w:val="14"/>
                      <w:lang w:val="nl-NL"/>
                    </w:rPr>
                    <w:t>Numărul de angajați</w:t>
                  </w:r>
                </w:p>
              </w:tc>
            </w:tr>
            <w:tr w:rsidR="006F3D35" w:rsidRPr="000D6AB4" w14:paraId="418448F6" w14:textId="77777777" w:rsidTr="00B20FE1">
              <w:trPr>
                <w:trHeight w:val="842"/>
              </w:trPr>
              <w:tc>
                <w:tcPr>
                  <w:tcW w:w="935" w:type="dxa"/>
                </w:tcPr>
                <w:p w14:paraId="4DA18437" w14:textId="33B2F75A" w:rsidR="006F3D35" w:rsidRPr="00E00051" w:rsidRDefault="007F7446" w:rsidP="006F3D35">
                  <w:pPr>
                    <w:pStyle w:val="LLNormal"/>
                    <w:spacing w:line="240" w:lineRule="auto"/>
                    <w:rPr>
                      <w:rFonts w:asciiTheme="majorHAnsi" w:hAnsiTheme="majorHAnsi"/>
                      <w:sz w:val="14"/>
                      <w:szCs w:val="14"/>
                      <w:lang w:val="nl-NL"/>
                    </w:rPr>
                  </w:pPr>
                  <w:r w:rsidRPr="007F7446">
                    <w:rPr>
                      <w:rFonts w:asciiTheme="majorHAnsi" w:hAnsiTheme="majorHAnsi"/>
                      <w:sz w:val="14"/>
                      <w:szCs w:val="14"/>
                      <w:lang w:val="nl-NL"/>
                    </w:rPr>
                    <w:t>Denumirecompleta</w:t>
                  </w:r>
                  <w:r w:rsidR="00E00051">
                    <w:rPr>
                      <w:rFonts w:asciiTheme="majorHAnsi" w:hAnsiTheme="majorHAnsi"/>
                      <w:sz w:val="14"/>
                      <w:szCs w:val="14"/>
                      <w:lang w:val="nl-NL"/>
                    </w:rPr>
                    <w:t xml:space="preserve"> a</w:t>
                  </w:r>
                  <w:r w:rsidRPr="007F7446">
                    <w:rPr>
                      <w:rFonts w:asciiTheme="majorHAnsi" w:hAnsiTheme="majorHAnsi"/>
                      <w:sz w:val="14"/>
                      <w:szCs w:val="14"/>
                      <w:lang w:val="nl-NL"/>
                    </w:rPr>
                    <w:t xml:space="preserve"> statului membru</w:t>
                  </w:r>
                </w:p>
              </w:tc>
              <w:tc>
                <w:tcPr>
                  <w:tcW w:w="6561" w:type="dxa"/>
                  <w:gridSpan w:val="7"/>
                  <w:shd w:val="solid" w:color="008080" w:fill="008080"/>
                  <w:vAlign w:val="center"/>
                </w:tcPr>
                <w:p w14:paraId="485A0BD2" w14:textId="3750E43B" w:rsidR="006F3D35" w:rsidRPr="000D6AB4" w:rsidRDefault="003E6AE4" w:rsidP="006F3D35">
                  <w:pPr>
                    <w:pStyle w:val="LLNormal"/>
                    <w:spacing w:line="240" w:lineRule="auto"/>
                    <w:jc w:val="center"/>
                    <w:rPr>
                      <w:rFonts w:asciiTheme="majorHAnsi" w:hAnsiTheme="majorHAnsi"/>
                      <w:sz w:val="14"/>
                      <w:szCs w:val="14"/>
                    </w:rPr>
                  </w:pPr>
                  <w:r w:rsidRPr="003E6AE4">
                    <w:rPr>
                      <w:rFonts w:asciiTheme="majorHAnsi" w:hAnsiTheme="majorHAnsi"/>
                      <w:sz w:val="14"/>
                      <w:szCs w:val="14"/>
                      <w:lang w:val="nl-NL"/>
                    </w:rPr>
                    <w:t>A se vedea secțiunea 4</w:t>
                  </w:r>
                </w:p>
              </w:tc>
            </w:tr>
          </w:tbl>
          <w:p w14:paraId="566C7B12" w14:textId="77777777" w:rsidR="006F3D35" w:rsidRDefault="006F3D35" w:rsidP="00153EA0">
            <w:pPr>
              <w:pStyle w:val="LLNormal"/>
              <w:spacing w:line="240" w:lineRule="auto"/>
              <w:rPr>
                <w:b/>
                <w:bCs/>
                <w:szCs w:val="20"/>
                <w:lang w:val="nl-NL"/>
              </w:rPr>
            </w:pPr>
          </w:p>
          <w:p w14:paraId="7648411D" w14:textId="3C5EDF48" w:rsidR="003E6AE4" w:rsidRPr="000C47EE" w:rsidRDefault="00C063ED" w:rsidP="00153EA0">
            <w:pPr>
              <w:pStyle w:val="LLNormal"/>
              <w:spacing w:line="240" w:lineRule="auto"/>
              <w:rPr>
                <w:rFonts w:asciiTheme="majorHAnsi" w:hAnsiTheme="majorHAnsi"/>
                <w:b/>
                <w:bCs/>
                <w:szCs w:val="20"/>
              </w:rPr>
            </w:pPr>
            <w:r w:rsidRPr="000C47EE">
              <w:rPr>
                <w:rFonts w:asciiTheme="majorHAnsi" w:hAnsiTheme="majorHAnsi"/>
                <w:b/>
                <w:bCs/>
                <w:szCs w:val="20"/>
              </w:rPr>
              <w:t>Secțiunea 3 – Lista filialelor și activităților</w:t>
            </w:r>
          </w:p>
          <w:tbl>
            <w:tblPr>
              <w:tblStyle w:val="TableGrid"/>
              <w:tblW w:w="7266" w:type="dxa"/>
              <w:tblLayout w:type="fixed"/>
              <w:tblLook w:val="04A0" w:firstRow="1" w:lastRow="0" w:firstColumn="1" w:lastColumn="0" w:noHBand="0" w:noVBand="1"/>
            </w:tblPr>
            <w:tblGrid>
              <w:gridCol w:w="1395"/>
              <w:gridCol w:w="1166"/>
              <w:gridCol w:w="2888"/>
              <w:gridCol w:w="1817"/>
            </w:tblGrid>
            <w:tr w:rsidR="003E6AE4" w:rsidRPr="00376599" w14:paraId="7275FF6C" w14:textId="77777777" w:rsidTr="00B20FE1">
              <w:trPr>
                <w:trHeight w:val="1185"/>
                <w:tblHeader/>
              </w:trPr>
              <w:tc>
                <w:tcPr>
                  <w:tcW w:w="1395" w:type="dxa"/>
                  <w:shd w:val="clear" w:color="auto" w:fill="F3FAFC" w:themeFill="accent1" w:themeFillTint="33"/>
                </w:tcPr>
                <w:p w14:paraId="4CF6E999" w14:textId="4373103E" w:rsidR="003E6AE4" w:rsidRPr="00376599" w:rsidRDefault="00C063ED" w:rsidP="003E6AE4">
                  <w:pPr>
                    <w:pStyle w:val="LLNormal"/>
                    <w:spacing w:line="240" w:lineRule="auto"/>
                    <w:rPr>
                      <w:rFonts w:asciiTheme="majorHAnsi" w:hAnsiTheme="majorHAnsi"/>
                      <w:b/>
                      <w:bCs/>
                      <w:sz w:val="16"/>
                      <w:szCs w:val="16"/>
                    </w:rPr>
                  </w:pPr>
                  <w:r w:rsidRPr="00C063ED">
                    <w:rPr>
                      <w:rFonts w:asciiTheme="majorHAnsi" w:hAnsiTheme="majorHAnsi"/>
                      <w:b/>
                      <w:bCs/>
                      <w:sz w:val="16"/>
                      <w:szCs w:val="16"/>
                      <w:lang w:val="nl-NL"/>
                    </w:rPr>
                    <w:t>Statul membru sau jurisdicția fiscală</w:t>
                  </w:r>
                </w:p>
              </w:tc>
              <w:tc>
                <w:tcPr>
                  <w:tcW w:w="1166" w:type="dxa"/>
                  <w:shd w:val="clear" w:color="auto" w:fill="F3FAFC" w:themeFill="accent1" w:themeFillTint="33"/>
                </w:tcPr>
                <w:p w14:paraId="376C7A5C" w14:textId="4A40484D" w:rsidR="003E6AE4" w:rsidRPr="00376599" w:rsidRDefault="00C21B3D" w:rsidP="003E6AE4">
                  <w:pPr>
                    <w:pStyle w:val="LLNormal"/>
                    <w:spacing w:line="240" w:lineRule="auto"/>
                    <w:rPr>
                      <w:rFonts w:asciiTheme="majorHAnsi" w:hAnsiTheme="majorHAnsi"/>
                      <w:b/>
                      <w:bCs/>
                      <w:sz w:val="16"/>
                      <w:szCs w:val="16"/>
                    </w:rPr>
                  </w:pPr>
                  <w:r w:rsidRPr="00C21B3D">
                    <w:rPr>
                      <w:rFonts w:asciiTheme="majorHAnsi" w:hAnsiTheme="majorHAnsi"/>
                      <w:b/>
                      <w:bCs/>
                      <w:sz w:val="16"/>
                      <w:szCs w:val="16"/>
                      <w:lang w:val="nl-NL"/>
                    </w:rPr>
                    <w:t>Codul țării</w:t>
                  </w:r>
                </w:p>
              </w:tc>
              <w:tc>
                <w:tcPr>
                  <w:tcW w:w="2888" w:type="dxa"/>
                  <w:shd w:val="clear" w:color="auto" w:fill="F3FAFC" w:themeFill="accent1" w:themeFillTint="33"/>
                </w:tcPr>
                <w:p w14:paraId="579EE4DA" w14:textId="127BCB82" w:rsidR="003E6AE4" w:rsidRPr="00376599" w:rsidRDefault="00C21B3D" w:rsidP="003E6AE4">
                  <w:pPr>
                    <w:pStyle w:val="LLNormal"/>
                    <w:spacing w:line="240" w:lineRule="auto"/>
                    <w:rPr>
                      <w:rFonts w:asciiTheme="majorHAnsi" w:hAnsiTheme="majorHAnsi"/>
                      <w:b/>
                      <w:bCs/>
                      <w:sz w:val="16"/>
                      <w:szCs w:val="16"/>
                    </w:rPr>
                  </w:pPr>
                  <w:r w:rsidRPr="00C21B3D">
                    <w:rPr>
                      <w:rFonts w:asciiTheme="majorHAnsi" w:hAnsiTheme="majorHAnsi"/>
                      <w:b/>
                      <w:bCs/>
                      <w:sz w:val="16"/>
                      <w:szCs w:val="16"/>
                      <w:lang w:val="nl-NL"/>
                    </w:rPr>
                    <w:t>Denumirea fiecărei filiale din statul membru sau jurisdicția fiscală</w:t>
                  </w:r>
                </w:p>
              </w:tc>
              <w:tc>
                <w:tcPr>
                  <w:tcW w:w="1817" w:type="dxa"/>
                  <w:shd w:val="clear" w:color="auto" w:fill="F3FAFC" w:themeFill="accent1" w:themeFillTint="33"/>
                </w:tcPr>
                <w:p w14:paraId="05BE5957" w14:textId="7FD4FBB1" w:rsidR="003E6AE4" w:rsidRPr="00292095" w:rsidRDefault="00F03985" w:rsidP="003E6AE4">
                  <w:pPr>
                    <w:pStyle w:val="LLNormal"/>
                    <w:spacing w:line="240" w:lineRule="auto"/>
                    <w:rPr>
                      <w:rFonts w:asciiTheme="majorHAnsi" w:hAnsiTheme="majorHAnsi"/>
                      <w:b/>
                      <w:bCs/>
                      <w:sz w:val="14"/>
                      <w:szCs w:val="14"/>
                    </w:rPr>
                  </w:pPr>
                  <w:r w:rsidRPr="00292095">
                    <w:rPr>
                      <w:rFonts w:asciiTheme="majorHAnsi" w:hAnsiTheme="majorHAnsi"/>
                      <w:b/>
                      <w:bCs/>
                      <w:sz w:val="14"/>
                      <w:szCs w:val="14"/>
                      <w:lang w:val="nl-NL"/>
                    </w:rPr>
                    <w:t>Scurtă descriere anaturii activităților din statul membru sau jurisdicția fiscală</w:t>
                  </w:r>
                </w:p>
              </w:tc>
            </w:tr>
            <w:tr w:rsidR="003E6AE4" w:rsidRPr="00376599" w14:paraId="410D5B05" w14:textId="77777777" w:rsidTr="009E6719">
              <w:trPr>
                <w:trHeight w:val="701"/>
              </w:trPr>
              <w:tc>
                <w:tcPr>
                  <w:tcW w:w="1395" w:type="dxa"/>
                  <w:shd w:val="clear" w:color="auto" w:fill="auto"/>
                </w:tcPr>
                <w:p w14:paraId="33D4C181"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Austria</w:t>
                  </w:r>
                </w:p>
              </w:tc>
              <w:tc>
                <w:tcPr>
                  <w:tcW w:w="1166" w:type="dxa"/>
                  <w:shd w:val="clear" w:color="auto" w:fill="auto"/>
                </w:tcPr>
                <w:p w14:paraId="041041AA"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AT</w:t>
                  </w:r>
                </w:p>
              </w:tc>
              <w:tc>
                <w:tcPr>
                  <w:tcW w:w="2888" w:type="dxa"/>
                  <w:shd w:val="clear" w:color="auto" w:fill="auto"/>
                  <w:vAlign w:val="bottom"/>
                </w:tcPr>
                <w:p w14:paraId="7EB3DB63"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Austria GmbH.</w:t>
                  </w:r>
                </w:p>
              </w:tc>
              <w:tc>
                <w:tcPr>
                  <w:tcW w:w="1817" w:type="dxa"/>
                  <w:shd w:val="clear" w:color="auto" w:fill="auto"/>
                </w:tcPr>
                <w:p w14:paraId="54F473DA" w14:textId="741171F1"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61843AA0" w14:textId="77777777" w:rsidTr="00B20FE1">
              <w:trPr>
                <w:trHeight w:val="602"/>
              </w:trPr>
              <w:tc>
                <w:tcPr>
                  <w:tcW w:w="1395" w:type="dxa"/>
                  <w:vMerge w:val="restart"/>
                  <w:shd w:val="clear" w:color="auto" w:fill="auto"/>
                </w:tcPr>
                <w:p w14:paraId="3869AD14" w14:textId="72534838" w:rsidR="003E6AE4" w:rsidRPr="00376599" w:rsidRDefault="00F03985"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Belgia</w:t>
                  </w:r>
                  <w:proofErr w:type="spellEnd"/>
                </w:p>
              </w:tc>
              <w:tc>
                <w:tcPr>
                  <w:tcW w:w="1166" w:type="dxa"/>
                  <w:vMerge w:val="restart"/>
                  <w:shd w:val="clear" w:color="auto" w:fill="auto"/>
                </w:tcPr>
                <w:p w14:paraId="49219F1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BE</w:t>
                  </w:r>
                </w:p>
              </w:tc>
              <w:tc>
                <w:tcPr>
                  <w:tcW w:w="2888" w:type="dxa"/>
                  <w:shd w:val="clear" w:color="auto" w:fill="auto"/>
                  <w:vAlign w:val="bottom"/>
                </w:tcPr>
                <w:p w14:paraId="29E06855"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Belgium S.A./N.V.</w:t>
                  </w:r>
                </w:p>
              </w:tc>
              <w:tc>
                <w:tcPr>
                  <w:tcW w:w="1817" w:type="dxa"/>
                  <w:vMerge w:val="restart"/>
                  <w:shd w:val="clear" w:color="auto" w:fill="auto"/>
                </w:tcPr>
                <w:p w14:paraId="210F42D9" w14:textId="5F1F7C7F"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5EB98EC1" w14:textId="77777777" w:rsidTr="00B20FE1">
              <w:trPr>
                <w:trHeight w:val="143"/>
              </w:trPr>
              <w:tc>
                <w:tcPr>
                  <w:tcW w:w="1395" w:type="dxa"/>
                  <w:vMerge/>
                  <w:shd w:val="clear" w:color="auto" w:fill="auto"/>
                </w:tcPr>
                <w:p w14:paraId="28C9E405"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643D49C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1E43B5A7"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BELGIUM Distribution S.A./N.V.</w:t>
                  </w:r>
                </w:p>
              </w:tc>
              <w:tc>
                <w:tcPr>
                  <w:tcW w:w="1817" w:type="dxa"/>
                  <w:vMerge/>
                  <w:shd w:val="clear" w:color="auto" w:fill="auto"/>
                </w:tcPr>
                <w:p w14:paraId="269C8C28"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2ECE41BD" w14:textId="77777777" w:rsidTr="00B20FE1">
              <w:trPr>
                <w:trHeight w:val="602"/>
              </w:trPr>
              <w:tc>
                <w:tcPr>
                  <w:tcW w:w="1395" w:type="dxa"/>
                  <w:shd w:val="clear" w:color="auto" w:fill="auto"/>
                </w:tcPr>
                <w:p w14:paraId="0FA6731C"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Croatia</w:t>
                  </w:r>
                </w:p>
              </w:tc>
              <w:tc>
                <w:tcPr>
                  <w:tcW w:w="1166" w:type="dxa"/>
                  <w:shd w:val="clear" w:color="auto" w:fill="auto"/>
                </w:tcPr>
                <w:p w14:paraId="7F9AA959"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HR</w:t>
                  </w:r>
                </w:p>
              </w:tc>
              <w:tc>
                <w:tcPr>
                  <w:tcW w:w="2888" w:type="dxa"/>
                  <w:shd w:val="clear" w:color="auto" w:fill="auto"/>
                  <w:vAlign w:val="bottom"/>
                </w:tcPr>
                <w:p w14:paraId="6B5FB3AA"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Croatia </w:t>
                  </w:r>
                  <w:proofErr w:type="spellStart"/>
                  <w:r w:rsidRPr="00376599">
                    <w:rPr>
                      <w:rFonts w:asciiTheme="majorHAnsi" w:hAnsiTheme="majorHAnsi" w:cs="Arial"/>
                      <w:color w:val="231F20" w:themeColor="text1"/>
                      <w:sz w:val="16"/>
                      <w:szCs w:val="16"/>
                    </w:rPr>
                    <w:t>d.o.o</w:t>
                  </w:r>
                  <w:proofErr w:type="spellEnd"/>
                  <w:r w:rsidRPr="00376599">
                    <w:rPr>
                      <w:rFonts w:asciiTheme="majorHAnsi" w:hAnsiTheme="majorHAnsi" w:cs="Arial"/>
                      <w:color w:val="231F20" w:themeColor="text1"/>
                      <w:sz w:val="16"/>
                      <w:szCs w:val="16"/>
                    </w:rPr>
                    <w:t xml:space="preserve"> </w:t>
                  </w:r>
                </w:p>
              </w:tc>
              <w:tc>
                <w:tcPr>
                  <w:tcW w:w="1817" w:type="dxa"/>
                  <w:shd w:val="clear" w:color="auto" w:fill="auto"/>
                </w:tcPr>
                <w:p w14:paraId="517C762B" w14:textId="3CF61F77"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5E4BACEF" w14:textId="77777777" w:rsidTr="00B20FE1">
              <w:trPr>
                <w:trHeight w:val="581"/>
              </w:trPr>
              <w:tc>
                <w:tcPr>
                  <w:tcW w:w="1395" w:type="dxa"/>
                  <w:shd w:val="clear" w:color="auto" w:fill="auto"/>
                </w:tcPr>
                <w:p w14:paraId="39BCBBA3" w14:textId="22016784" w:rsidR="003E6AE4" w:rsidRPr="00376599" w:rsidRDefault="009E6719"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Cehia</w:t>
                  </w:r>
                  <w:proofErr w:type="spellEnd"/>
                </w:p>
              </w:tc>
              <w:tc>
                <w:tcPr>
                  <w:tcW w:w="1166" w:type="dxa"/>
                  <w:shd w:val="clear" w:color="auto" w:fill="auto"/>
                </w:tcPr>
                <w:p w14:paraId="18773D1A"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CZ</w:t>
                  </w:r>
                </w:p>
              </w:tc>
              <w:tc>
                <w:tcPr>
                  <w:tcW w:w="2888" w:type="dxa"/>
                  <w:shd w:val="clear" w:color="auto" w:fill="auto"/>
                  <w:vAlign w:val="bottom"/>
                </w:tcPr>
                <w:p w14:paraId="316FBC9A"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Czech Republic </w:t>
                  </w:r>
                  <w:proofErr w:type="spellStart"/>
                  <w:r w:rsidRPr="00376599">
                    <w:rPr>
                      <w:rFonts w:asciiTheme="majorHAnsi" w:hAnsiTheme="majorHAnsi" w:cs="Arial"/>
                      <w:color w:val="231F20" w:themeColor="text1"/>
                      <w:sz w:val="16"/>
                      <w:szCs w:val="16"/>
                    </w:rPr>
                    <w:t>s.r.o.</w:t>
                  </w:r>
                  <w:proofErr w:type="spellEnd"/>
                </w:p>
              </w:tc>
              <w:tc>
                <w:tcPr>
                  <w:tcW w:w="1817" w:type="dxa"/>
                  <w:shd w:val="clear" w:color="auto" w:fill="auto"/>
                </w:tcPr>
                <w:p w14:paraId="26A33597" w14:textId="11CC4751"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559CD418" w14:textId="77777777" w:rsidTr="00B20FE1">
              <w:trPr>
                <w:trHeight w:val="415"/>
              </w:trPr>
              <w:tc>
                <w:tcPr>
                  <w:tcW w:w="1395" w:type="dxa"/>
                  <w:vMerge w:val="restart"/>
                  <w:shd w:val="clear" w:color="auto" w:fill="auto"/>
                </w:tcPr>
                <w:p w14:paraId="183626D1" w14:textId="66D3A41F" w:rsidR="003E6AE4" w:rsidRPr="00376599" w:rsidRDefault="009E6719"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Danemarca</w:t>
                  </w:r>
                  <w:proofErr w:type="spellEnd"/>
                </w:p>
              </w:tc>
              <w:tc>
                <w:tcPr>
                  <w:tcW w:w="1166" w:type="dxa"/>
                  <w:vMerge w:val="restart"/>
                  <w:shd w:val="clear" w:color="auto" w:fill="auto"/>
                </w:tcPr>
                <w:p w14:paraId="707BD92B"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DK</w:t>
                  </w:r>
                </w:p>
              </w:tc>
              <w:tc>
                <w:tcPr>
                  <w:tcW w:w="2888" w:type="dxa"/>
                  <w:shd w:val="clear" w:color="auto" w:fill="auto"/>
                  <w:vAlign w:val="bottom"/>
                </w:tcPr>
                <w:p w14:paraId="5A473E21"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Denmark A/S</w:t>
                  </w:r>
                </w:p>
              </w:tc>
              <w:tc>
                <w:tcPr>
                  <w:tcW w:w="1817" w:type="dxa"/>
                  <w:vMerge w:val="restart"/>
                  <w:shd w:val="clear" w:color="auto" w:fill="auto"/>
                </w:tcPr>
                <w:p w14:paraId="7A276D66" w14:textId="245338D2"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56ED014F" w14:textId="77777777" w:rsidTr="00AF03B5">
              <w:trPr>
                <w:trHeight w:val="431"/>
              </w:trPr>
              <w:tc>
                <w:tcPr>
                  <w:tcW w:w="1395" w:type="dxa"/>
                  <w:vMerge/>
                  <w:shd w:val="clear" w:color="auto" w:fill="auto"/>
                </w:tcPr>
                <w:p w14:paraId="7C81883D"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10547F1A"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149CD480"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Express A/S</w:t>
                  </w:r>
                </w:p>
              </w:tc>
              <w:tc>
                <w:tcPr>
                  <w:tcW w:w="1817" w:type="dxa"/>
                  <w:vMerge/>
                  <w:shd w:val="clear" w:color="auto" w:fill="auto"/>
                </w:tcPr>
                <w:p w14:paraId="5F90F3FC"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56DEFA9E" w14:textId="77777777" w:rsidTr="00B20FE1">
              <w:trPr>
                <w:trHeight w:val="602"/>
              </w:trPr>
              <w:tc>
                <w:tcPr>
                  <w:tcW w:w="1395" w:type="dxa"/>
                  <w:shd w:val="clear" w:color="auto" w:fill="auto"/>
                </w:tcPr>
                <w:p w14:paraId="5D5809B7" w14:textId="1A9CDD35" w:rsidR="003E6AE4" w:rsidRPr="00376599" w:rsidRDefault="009E6719"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Finlanda</w:t>
                  </w:r>
                  <w:proofErr w:type="spellEnd"/>
                </w:p>
              </w:tc>
              <w:tc>
                <w:tcPr>
                  <w:tcW w:w="1166" w:type="dxa"/>
                  <w:shd w:val="clear" w:color="auto" w:fill="auto"/>
                </w:tcPr>
                <w:p w14:paraId="15799F67"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FI</w:t>
                  </w:r>
                </w:p>
              </w:tc>
              <w:tc>
                <w:tcPr>
                  <w:tcW w:w="2888" w:type="dxa"/>
                  <w:shd w:val="clear" w:color="auto" w:fill="auto"/>
                  <w:vAlign w:val="bottom"/>
                </w:tcPr>
                <w:p w14:paraId="75E4F7CC"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Finland Oy</w:t>
                  </w:r>
                </w:p>
              </w:tc>
              <w:tc>
                <w:tcPr>
                  <w:tcW w:w="1817" w:type="dxa"/>
                  <w:shd w:val="clear" w:color="auto" w:fill="auto"/>
                </w:tcPr>
                <w:p w14:paraId="6C0354F4" w14:textId="4435CF98" w:rsidR="003E6AE4" w:rsidRPr="00376599" w:rsidRDefault="00951781"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2AD23F17" w14:textId="77777777" w:rsidTr="00B20FE1">
              <w:trPr>
                <w:trHeight w:val="395"/>
              </w:trPr>
              <w:tc>
                <w:tcPr>
                  <w:tcW w:w="1395" w:type="dxa"/>
                  <w:vMerge w:val="restart"/>
                  <w:shd w:val="clear" w:color="auto" w:fill="auto"/>
                </w:tcPr>
                <w:p w14:paraId="4341617B" w14:textId="4DC8B892" w:rsidR="003E6AE4" w:rsidRPr="00376599" w:rsidRDefault="009E6719"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Franța</w:t>
                  </w:r>
                  <w:proofErr w:type="spellEnd"/>
                </w:p>
              </w:tc>
              <w:tc>
                <w:tcPr>
                  <w:tcW w:w="1166" w:type="dxa"/>
                  <w:vMerge w:val="restart"/>
                  <w:shd w:val="clear" w:color="auto" w:fill="auto"/>
                </w:tcPr>
                <w:p w14:paraId="3E457C9B"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FR</w:t>
                  </w:r>
                </w:p>
              </w:tc>
              <w:tc>
                <w:tcPr>
                  <w:tcW w:w="2888" w:type="dxa"/>
                  <w:shd w:val="clear" w:color="auto" w:fill="auto"/>
                  <w:vAlign w:val="bottom"/>
                </w:tcPr>
                <w:p w14:paraId="0ACA26BF"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France S.A.S.</w:t>
                  </w:r>
                </w:p>
              </w:tc>
              <w:tc>
                <w:tcPr>
                  <w:tcW w:w="1817" w:type="dxa"/>
                  <w:vMerge w:val="restart"/>
                  <w:shd w:val="clear" w:color="auto" w:fill="auto"/>
                </w:tcPr>
                <w:p w14:paraId="083D1819" w14:textId="1F70DB42" w:rsidR="003E6AE4" w:rsidRPr="00376599" w:rsidRDefault="00E56977" w:rsidP="003E6AE4">
                  <w:pPr>
                    <w:pStyle w:val="LLNormal"/>
                    <w:spacing w:line="240" w:lineRule="auto"/>
                    <w:jc w:val="left"/>
                    <w:rPr>
                      <w:rFonts w:asciiTheme="majorHAnsi" w:hAnsiTheme="majorHAnsi"/>
                      <w:color w:val="231F20" w:themeColor="text1"/>
                      <w:sz w:val="16"/>
                      <w:szCs w:val="16"/>
                    </w:rPr>
                  </w:pPr>
                  <w:r w:rsidRPr="00E56977">
                    <w:rPr>
                      <w:rFonts w:asciiTheme="majorHAnsi" w:hAnsiTheme="majorHAnsi"/>
                      <w:color w:val="231F20" w:themeColor="text1"/>
                      <w:sz w:val="16"/>
                      <w:szCs w:val="16"/>
                      <w:lang w:val="nl-NL"/>
                    </w:rPr>
                    <w:t>Furnizarea de servicii către părți neafiliate / deținerea de acțiuni sau alte instrumente de capitaluri proprii</w:t>
                  </w:r>
                </w:p>
              </w:tc>
            </w:tr>
            <w:tr w:rsidR="003E6AE4" w:rsidRPr="00376599" w14:paraId="12D3FBC2" w14:textId="77777777" w:rsidTr="00B20FE1">
              <w:trPr>
                <w:trHeight w:val="143"/>
              </w:trPr>
              <w:tc>
                <w:tcPr>
                  <w:tcW w:w="1395" w:type="dxa"/>
                  <w:vMerge/>
                  <w:shd w:val="clear" w:color="auto" w:fill="auto"/>
                </w:tcPr>
                <w:p w14:paraId="5ECB1E2F"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3151E032"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2D129FF4"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lang w:val="fr-FR"/>
                    </w:rPr>
                  </w:pPr>
                  <w:r w:rsidRPr="00376599">
                    <w:rPr>
                      <w:rFonts w:asciiTheme="majorHAnsi" w:hAnsiTheme="majorHAnsi" w:cs="Arial"/>
                      <w:color w:val="231F20" w:themeColor="text1"/>
                      <w:sz w:val="16"/>
                      <w:szCs w:val="16"/>
                      <w:lang w:val="fr-FR"/>
                    </w:rPr>
                    <w:t>GLS Invest France S.</w:t>
                  </w:r>
                  <w:proofErr w:type="gramStart"/>
                  <w:r w:rsidRPr="00376599">
                    <w:rPr>
                      <w:rFonts w:asciiTheme="majorHAnsi" w:hAnsiTheme="majorHAnsi" w:cs="Arial"/>
                      <w:color w:val="231F20" w:themeColor="text1"/>
                      <w:sz w:val="16"/>
                      <w:szCs w:val="16"/>
                      <w:lang w:val="fr-FR"/>
                    </w:rPr>
                    <w:t>A.S</w:t>
                  </w:r>
                  <w:proofErr w:type="gramEnd"/>
                </w:p>
              </w:tc>
              <w:tc>
                <w:tcPr>
                  <w:tcW w:w="1817" w:type="dxa"/>
                  <w:vMerge/>
                  <w:shd w:val="clear" w:color="auto" w:fill="auto"/>
                </w:tcPr>
                <w:p w14:paraId="3E8F198D"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fr-FR"/>
                    </w:rPr>
                  </w:pPr>
                </w:p>
              </w:tc>
            </w:tr>
            <w:tr w:rsidR="003E6AE4" w:rsidRPr="00376599" w14:paraId="5E19C02C" w14:textId="77777777" w:rsidTr="00B20FE1">
              <w:trPr>
                <w:trHeight w:val="143"/>
              </w:trPr>
              <w:tc>
                <w:tcPr>
                  <w:tcW w:w="1395" w:type="dxa"/>
                  <w:vMerge/>
                  <w:shd w:val="clear" w:color="auto" w:fill="auto"/>
                </w:tcPr>
                <w:p w14:paraId="696E0A88"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fr-FR"/>
                    </w:rPr>
                  </w:pPr>
                </w:p>
              </w:tc>
              <w:tc>
                <w:tcPr>
                  <w:tcW w:w="1166" w:type="dxa"/>
                  <w:vMerge/>
                  <w:shd w:val="clear" w:color="auto" w:fill="auto"/>
                </w:tcPr>
                <w:p w14:paraId="3D96E111"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fr-FR"/>
                    </w:rPr>
                  </w:pPr>
                </w:p>
              </w:tc>
              <w:tc>
                <w:tcPr>
                  <w:tcW w:w="2888" w:type="dxa"/>
                  <w:shd w:val="clear" w:color="auto" w:fill="auto"/>
                  <w:vAlign w:val="bottom"/>
                </w:tcPr>
                <w:p w14:paraId="604524F6"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proofErr w:type="spellStart"/>
                  <w:r w:rsidRPr="00376599">
                    <w:rPr>
                      <w:rFonts w:asciiTheme="majorHAnsi" w:hAnsiTheme="majorHAnsi" w:cs="Arial"/>
                      <w:color w:val="231F20" w:themeColor="text1"/>
                      <w:sz w:val="16"/>
                      <w:szCs w:val="16"/>
                    </w:rPr>
                    <w:t>Tousfacteurs</w:t>
                  </w:r>
                  <w:proofErr w:type="spellEnd"/>
                  <w:r w:rsidRPr="00376599">
                    <w:rPr>
                      <w:rFonts w:asciiTheme="majorHAnsi" w:hAnsiTheme="majorHAnsi" w:cs="Arial"/>
                      <w:color w:val="231F20" w:themeColor="text1"/>
                      <w:sz w:val="16"/>
                      <w:szCs w:val="16"/>
                    </w:rPr>
                    <w:t xml:space="preserve"> SAS</w:t>
                  </w:r>
                </w:p>
              </w:tc>
              <w:tc>
                <w:tcPr>
                  <w:tcW w:w="1817" w:type="dxa"/>
                  <w:vMerge/>
                  <w:shd w:val="clear" w:color="auto" w:fill="auto"/>
                </w:tcPr>
                <w:p w14:paraId="57A7DEC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5B01D8CF" w14:textId="77777777" w:rsidTr="00B20FE1">
              <w:trPr>
                <w:trHeight w:val="395"/>
              </w:trPr>
              <w:tc>
                <w:tcPr>
                  <w:tcW w:w="1395" w:type="dxa"/>
                  <w:vMerge w:val="restart"/>
                  <w:shd w:val="clear" w:color="auto" w:fill="auto"/>
                </w:tcPr>
                <w:p w14:paraId="1CEE2FF4" w14:textId="558E791B" w:rsidR="003E6AE4" w:rsidRPr="00376599" w:rsidRDefault="009E6719" w:rsidP="003E6AE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t>Germania</w:t>
                  </w:r>
                </w:p>
              </w:tc>
              <w:tc>
                <w:tcPr>
                  <w:tcW w:w="1166" w:type="dxa"/>
                  <w:vMerge w:val="restart"/>
                  <w:shd w:val="clear" w:color="auto" w:fill="auto"/>
                </w:tcPr>
                <w:p w14:paraId="78B2608E"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DE</w:t>
                  </w:r>
                </w:p>
              </w:tc>
              <w:tc>
                <w:tcPr>
                  <w:tcW w:w="2888" w:type="dxa"/>
                  <w:shd w:val="clear" w:color="auto" w:fill="auto"/>
                  <w:vAlign w:val="bottom"/>
                </w:tcPr>
                <w:p w14:paraId="6E2F1B46"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DER KURIER </w:t>
                  </w:r>
                  <w:proofErr w:type="spellStart"/>
                  <w:r w:rsidRPr="00376599">
                    <w:rPr>
                      <w:rFonts w:asciiTheme="majorHAnsi" w:hAnsiTheme="majorHAnsi" w:cs="Arial"/>
                      <w:color w:val="231F20" w:themeColor="text1"/>
                      <w:sz w:val="16"/>
                      <w:szCs w:val="16"/>
                    </w:rPr>
                    <w:t>Beteiligungs</w:t>
                  </w:r>
                  <w:proofErr w:type="spellEnd"/>
                  <w:r w:rsidRPr="00376599">
                    <w:rPr>
                      <w:rFonts w:asciiTheme="majorHAnsi" w:hAnsiTheme="majorHAnsi" w:cs="Arial"/>
                      <w:color w:val="231F20" w:themeColor="text1"/>
                      <w:sz w:val="16"/>
                      <w:szCs w:val="16"/>
                    </w:rPr>
                    <w:t xml:space="preserve"> GmbH</w:t>
                  </w:r>
                </w:p>
              </w:tc>
              <w:tc>
                <w:tcPr>
                  <w:tcW w:w="1817" w:type="dxa"/>
                  <w:vMerge w:val="restart"/>
                  <w:shd w:val="clear" w:color="auto" w:fill="auto"/>
                </w:tcPr>
                <w:p w14:paraId="203637A8" w14:textId="0A4335CB" w:rsidR="003E6AE4" w:rsidRPr="00376599" w:rsidRDefault="00E56977" w:rsidP="003E6AE4">
                  <w:pPr>
                    <w:pStyle w:val="LLNormal"/>
                    <w:spacing w:line="240" w:lineRule="auto"/>
                    <w:jc w:val="left"/>
                    <w:rPr>
                      <w:rFonts w:asciiTheme="majorHAnsi" w:hAnsiTheme="majorHAnsi"/>
                      <w:color w:val="231F20" w:themeColor="text1"/>
                      <w:sz w:val="16"/>
                      <w:szCs w:val="16"/>
                    </w:rPr>
                  </w:pPr>
                  <w:r w:rsidRPr="00E56977">
                    <w:rPr>
                      <w:rFonts w:asciiTheme="majorHAnsi" w:hAnsiTheme="majorHAnsi"/>
                      <w:color w:val="231F20" w:themeColor="text1"/>
                      <w:sz w:val="16"/>
                      <w:szCs w:val="16"/>
                      <w:lang w:val="nl-NL"/>
                    </w:rPr>
                    <w:t xml:space="preserve">Deținerea sau administrarea proprietății intelectuale / Servicii administrative, de management sau de asistență / Furnizarea de servicii către părți neafiliate / Deținerea de acțiuni sau alte </w:t>
                  </w:r>
                  <w:r w:rsidRPr="00E56977">
                    <w:rPr>
                      <w:rFonts w:asciiTheme="majorHAnsi" w:hAnsiTheme="majorHAnsi"/>
                      <w:color w:val="231F20" w:themeColor="text1"/>
                      <w:sz w:val="16"/>
                      <w:szCs w:val="16"/>
                      <w:lang w:val="nl-NL"/>
                    </w:rPr>
                    <w:lastRenderedPageBreak/>
                    <w:t>instrumente de capitaluri proprii</w:t>
                  </w:r>
                </w:p>
              </w:tc>
            </w:tr>
            <w:tr w:rsidR="003E6AE4" w:rsidRPr="00376599" w14:paraId="6F8B857C" w14:textId="77777777" w:rsidTr="00B20FE1">
              <w:trPr>
                <w:trHeight w:val="143"/>
              </w:trPr>
              <w:tc>
                <w:tcPr>
                  <w:tcW w:w="1395" w:type="dxa"/>
                  <w:vMerge/>
                  <w:shd w:val="clear" w:color="auto" w:fill="auto"/>
                </w:tcPr>
                <w:p w14:paraId="70E7608D"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776FFBE1"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1E1ECDEB"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Germany GmbH &amp; Co. OHG</w:t>
                  </w:r>
                </w:p>
              </w:tc>
              <w:tc>
                <w:tcPr>
                  <w:tcW w:w="1817" w:type="dxa"/>
                  <w:vMerge/>
                  <w:shd w:val="clear" w:color="auto" w:fill="auto"/>
                </w:tcPr>
                <w:p w14:paraId="1ECE687F"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7D30B1F4" w14:textId="77777777" w:rsidTr="00B20FE1">
              <w:trPr>
                <w:trHeight w:val="143"/>
              </w:trPr>
              <w:tc>
                <w:tcPr>
                  <w:tcW w:w="1395" w:type="dxa"/>
                  <w:vMerge/>
                  <w:shd w:val="clear" w:color="auto" w:fill="auto"/>
                </w:tcPr>
                <w:p w14:paraId="568CCC79"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728D237B"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2B972A9C"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w:t>
                  </w:r>
                  <w:proofErr w:type="spellStart"/>
                  <w:r w:rsidRPr="00376599">
                    <w:rPr>
                      <w:rFonts w:asciiTheme="majorHAnsi" w:hAnsiTheme="majorHAnsi" w:cs="Arial"/>
                      <w:color w:val="231F20" w:themeColor="text1"/>
                      <w:sz w:val="16"/>
                      <w:szCs w:val="16"/>
                    </w:rPr>
                    <w:t>Beteiligungs</w:t>
                  </w:r>
                  <w:proofErr w:type="spellEnd"/>
                  <w:r w:rsidRPr="00376599">
                    <w:rPr>
                      <w:rFonts w:asciiTheme="majorHAnsi" w:hAnsiTheme="majorHAnsi" w:cs="Arial"/>
                      <w:color w:val="231F20" w:themeColor="text1"/>
                      <w:sz w:val="16"/>
                      <w:szCs w:val="16"/>
                    </w:rPr>
                    <w:t xml:space="preserve"> GmbH</w:t>
                  </w:r>
                </w:p>
              </w:tc>
              <w:tc>
                <w:tcPr>
                  <w:tcW w:w="1817" w:type="dxa"/>
                  <w:vMerge/>
                  <w:shd w:val="clear" w:color="auto" w:fill="auto"/>
                </w:tcPr>
                <w:p w14:paraId="614A5F2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50D8B4C5" w14:textId="77777777" w:rsidTr="00B20FE1">
              <w:trPr>
                <w:trHeight w:val="143"/>
              </w:trPr>
              <w:tc>
                <w:tcPr>
                  <w:tcW w:w="1395" w:type="dxa"/>
                  <w:vMerge/>
                  <w:shd w:val="clear" w:color="auto" w:fill="auto"/>
                </w:tcPr>
                <w:p w14:paraId="5027E197"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250632C0"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79D5C1DE"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w:t>
                  </w:r>
                  <w:proofErr w:type="spellStart"/>
                  <w:r w:rsidRPr="00376599">
                    <w:rPr>
                      <w:rFonts w:asciiTheme="majorHAnsi" w:hAnsiTheme="majorHAnsi" w:cs="Arial"/>
                      <w:color w:val="231F20" w:themeColor="text1"/>
                      <w:sz w:val="16"/>
                      <w:szCs w:val="16"/>
                    </w:rPr>
                    <w:t>eCom</w:t>
                  </w:r>
                  <w:proofErr w:type="spellEnd"/>
                  <w:r w:rsidRPr="00376599">
                    <w:rPr>
                      <w:rFonts w:asciiTheme="majorHAnsi" w:hAnsiTheme="majorHAnsi" w:cs="Arial"/>
                      <w:color w:val="231F20" w:themeColor="text1"/>
                      <w:sz w:val="16"/>
                      <w:szCs w:val="16"/>
                    </w:rPr>
                    <w:t xml:space="preserve"> Lab GmbH</w:t>
                  </w:r>
                </w:p>
              </w:tc>
              <w:tc>
                <w:tcPr>
                  <w:tcW w:w="1817" w:type="dxa"/>
                  <w:vMerge/>
                  <w:shd w:val="clear" w:color="auto" w:fill="auto"/>
                </w:tcPr>
                <w:p w14:paraId="187B64DA"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6146FF9E" w14:textId="77777777" w:rsidTr="00B20FE1">
              <w:trPr>
                <w:trHeight w:val="143"/>
              </w:trPr>
              <w:tc>
                <w:tcPr>
                  <w:tcW w:w="1395" w:type="dxa"/>
                  <w:vMerge/>
                  <w:shd w:val="clear" w:color="auto" w:fill="auto"/>
                </w:tcPr>
                <w:p w14:paraId="249BBE89"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05E966DD"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661BDEA3"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IT Services GmbH</w:t>
                  </w:r>
                </w:p>
              </w:tc>
              <w:tc>
                <w:tcPr>
                  <w:tcW w:w="1817" w:type="dxa"/>
                  <w:vMerge/>
                  <w:shd w:val="clear" w:color="auto" w:fill="auto"/>
                </w:tcPr>
                <w:p w14:paraId="5638EF7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0ADE736E" w14:textId="77777777" w:rsidTr="00B20FE1">
              <w:trPr>
                <w:trHeight w:val="143"/>
              </w:trPr>
              <w:tc>
                <w:tcPr>
                  <w:tcW w:w="1395" w:type="dxa"/>
                  <w:vMerge/>
                  <w:shd w:val="clear" w:color="auto" w:fill="auto"/>
                </w:tcPr>
                <w:p w14:paraId="7BC93F5D"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7290D35C"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390964F0"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lang w:val="de-DE"/>
                    </w:rPr>
                  </w:pPr>
                  <w:r w:rsidRPr="00376599">
                    <w:rPr>
                      <w:rFonts w:asciiTheme="majorHAnsi" w:hAnsiTheme="majorHAnsi" w:cs="Arial"/>
                      <w:color w:val="231F20" w:themeColor="text1"/>
                      <w:sz w:val="16"/>
                      <w:szCs w:val="16"/>
                      <w:lang w:val="de-DE"/>
                    </w:rPr>
                    <w:t>GLS Verwaltungs- und Services GmbH</w:t>
                  </w:r>
                </w:p>
              </w:tc>
              <w:tc>
                <w:tcPr>
                  <w:tcW w:w="1817" w:type="dxa"/>
                  <w:vMerge/>
                  <w:shd w:val="clear" w:color="auto" w:fill="auto"/>
                </w:tcPr>
                <w:p w14:paraId="3872100C"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de-DE"/>
                    </w:rPr>
                  </w:pPr>
                </w:p>
              </w:tc>
            </w:tr>
            <w:tr w:rsidR="003E6AE4" w:rsidRPr="00376599" w14:paraId="1EFF2AAF" w14:textId="77777777" w:rsidTr="00B20FE1">
              <w:trPr>
                <w:trHeight w:val="143"/>
              </w:trPr>
              <w:tc>
                <w:tcPr>
                  <w:tcW w:w="1395" w:type="dxa"/>
                  <w:vMerge/>
                  <w:shd w:val="clear" w:color="auto" w:fill="auto"/>
                </w:tcPr>
                <w:p w14:paraId="12FEF8FD"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de-DE"/>
                    </w:rPr>
                  </w:pPr>
                </w:p>
              </w:tc>
              <w:tc>
                <w:tcPr>
                  <w:tcW w:w="1166" w:type="dxa"/>
                  <w:vMerge/>
                  <w:shd w:val="clear" w:color="auto" w:fill="auto"/>
                </w:tcPr>
                <w:p w14:paraId="5AA2B3F6"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de-DE"/>
                    </w:rPr>
                  </w:pPr>
                </w:p>
              </w:tc>
              <w:tc>
                <w:tcPr>
                  <w:tcW w:w="2888" w:type="dxa"/>
                  <w:shd w:val="clear" w:color="auto" w:fill="auto"/>
                  <w:vAlign w:val="bottom"/>
                </w:tcPr>
                <w:p w14:paraId="2EDECB18"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Mobility Solutions GmbH</w:t>
                  </w:r>
                </w:p>
              </w:tc>
              <w:tc>
                <w:tcPr>
                  <w:tcW w:w="1817" w:type="dxa"/>
                  <w:vMerge/>
                  <w:shd w:val="clear" w:color="auto" w:fill="auto"/>
                </w:tcPr>
                <w:p w14:paraId="342232AF"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74F05186" w14:textId="77777777" w:rsidTr="00B20FE1">
              <w:trPr>
                <w:trHeight w:val="602"/>
              </w:trPr>
              <w:tc>
                <w:tcPr>
                  <w:tcW w:w="1395" w:type="dxa"/>
                  <w:shd w:val="clear" w:color="auto" w:fill="auto"/>
                </w:tcPr>
                <w:p w14:paraId="3E153D83" w14:textId="6C0DDD42" w:rsidR="003E6AE4" w:rsidRPr="00376599" w:rsidRDefault="009E6719"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Ungaria</w:t>
                  </w:r>
                  <w:proofErr w:type="spellEnd"/>
                </w:p>
              </w:tc>
              <w:tc>
                <w:tcPr>
                  <w:tcW w:w="1166" w:type="dxa"/>
                  <w:shd w:val="clear" w:color="auto" w:fill="auto"/>
                </w:tcPr>
                <w:p w14:paraId="4FE59E6F"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HU</w:t>
                  </w:r>
                </w:p>
              </w:tc>
              <w:tc>
                <w:tcPr>
                  <w:tcW w:w="2888" w:type="dxa"/>
                  <w:shd w:val="clear" w:color="auto" w:fill="auto"/>
                  <w:vAlign w:val="bottom"/>
                </w:tcPr>
                <w:p w14:paraId="36FBEBFB"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General Logistics Systems Hungary </w:t>
                  </w:r>
                  <w:proofErr w:type="spellStart"/>
                  <w:r w:rsidRPr="00376599">
                    <w:rPr>
                      <w:rFonts w:asciiTheme="majorHAnsi" w:hAnsiTheme="majorHAnsi" w:cs="Arial"/>
                      <w:color w:val="231F20" w:themeColor="text1"/>
                      <w:sz w:val="16"/>
                      <w:szCs w:val="16"/>
                    </w:rPr>
                    <w:t>Csomag-Logisztikai</w:t>
                  </w:r>
                  <w:proofErr w:type="spellEnd"/>
                  <w:r w:rsidRPr="00376599">
                    <w:rPr>
                      <w:rFonts w:asciiTheme="majorHAnsi" w:hAnsiTheme="majorHAnsi" w:cs="Arial"/>
                      <w:color w:val="231F20" w:themeColor="text1"/>
                      <w:sz w:val="16"/>
                      <w:szCs w:val="16"/>
                    </w:rPr>
                    <w:t xml:space="preserve"> Kft.</w:t>
                  </w:r>
                </w:p>
              </w:tc>
              <w:tc>
                <w:tcPr>
                  <w:tcW w:w="1817" w:type="dxa"/>
                  <w:shd w:val="clear" w:color="auto" w:fill="auto"/>
                </w:tcPr>
                <w:p w14:paraId="7998C5FC" w14:textId="358B2B2C" w:rsidR="003E6AE4" w:rsidRPr="00376599" w:rsidRDefault="00E56977"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52B67DFB" w14:textId="77777777" w:rsidTr="00B20FE1">
              <w:trPr>
                <w:trHeight w:val="581"/>
              </w:trPr>
              <w:tc>
                <w:tcPr>
                  <w:tcW w:w="1395" w:type="dxa"/>
                  <w:shd w:val="clear" w:color="auto" w:fill="auto"/>
                </w:tcPr>
                <w:p w14:paraId="427480FC" w14:textId="74FABE29" w:rsidR="003E6AE4" w:rsidRPr="00376599" w:rsidRDefault="009E6719" w:rsidP="003E6AE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t>Irlanda</w:t>
                  </w:r>
                </w:p>
              </w:tc>
              <w:tc>
                <w:tcPr>
                  <w:tcW w:w="1166" w:type="dxa"/>
                  <w:shd w:val="clear" w:color="auto" w:fill="auto"/>
                </w:tcPr>
                <w:p w14:paraId="0A850E67"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IE</w:t>
                  </w:r>
                </w:p>
              </w:tc>
              <w:tc>
                <w:tcPr>
                  <w:tcW w:w="2888" w:type="dxa"/>
                  <w:shd w:val="clear" w:color="auto" w:fill="auto"/>
                  <w:vAlign w:val="bottom"/>
                </w:tcPr>
                <w:p w14:paraId="2D864A81"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Ireland Ltd</w:t>
                  </w:r>
                </w:p>
              </w:tc>
              <w:tc>
                <w:tcPr>
                  <w:tcW w:w="1817" w:type="dxa"/>
                  <w:shd w:val="clear" w:color="auto" w:fill="auto"/>
                </w:tcPr>
                <w:p w14:paraId="13E4FC7A" w14:textId="3076B24D" w:rsidR="003E6AE4" w:rsidRPr="00376599" w:rsidRDefault="00E56977"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B66B94" w:rsidRPr="00376599" w14:paraId="08654020" w14:textId="77777777" w:rsidTr="00B20FE1">
              <w:trPr>
                <w:trHeight w:val="415"/>
              </w:trPr>
              <w:tc>
                <w:tcPr>
                  <w:tcW w:w="1395" w:type="dxa"/>
                  <w:vMerge w:val="restart"/>
                  <w:shd w:val="clear" w:color="auto" w:fill="auto"/>
                </w:tcPr>
                <w:p w14:paraId="3E0BDFB9" w14:textId="33829C71" w:rsidR="00B66B94" w:rsidRPr="00376599" w:rsidRDefault="00493115" w:rsidP="00B66B9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t>Italia</w:t>
                  </w:r>
                </w:p>
              </w:tc>
              <w:tc>
                <w:tcPr>
                  <w:tcW w:w="1166" w:type="dxa"/>
                  <w:vMerge w:val="restart"/>
                  <w:shd w:val="clear" w:color="auto" w:fill="auto"/>
                </w:tcPr>
                <w:p w14:paraId="6892985E" w14:textId="77777777" w:rsidR="00B66B94" w:rsidRPr="00376599" w:rsidRDefault="00B66B94" w:rsidP="00B66B9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IT</w:t>
                  </w:r>
                </w:p>
              </w:tc>
              <w:tc>
                <w:tcPr>
                  <w:tcW w:w="2888" w:type="dxa"/>
                  <w:shd w:val="clear" w:color="auto" w:fill="auto"/>
                  <w:vAlign w:val="bottom"/>
                </w:tcPr>
                <w:p w14:paraId="5AEC3805" w14:textId="77777777" w:rsidR="00B66B94" w:rsidRPr="00376599" w:rsidRDefault="00B66B94" w:rsidP="00B66B9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Agone </w:t>
                  </w:r>
                  <w:proofErr w:type="spellStart"/>
                  <w:r w:rsidRPr="00376599">
                    <w:rPr>
                      <w:rFonts w:asciiTheme="majorHAnsi" w:hAnsiTheme="majorHAnsi" w:cs="Arial"/>
                      <w:color w:val="231F20" w:themeColor="text1"/>
                      <w:sz w:val="16"/>
                      <w:szCs w:val="16"/>
                    </w:rPr>
                    <w:t>S.r.l</w:t>
                  </w:r>
                  <w:proofErr w:type="spellEnd"/>
                  <w:r w:rsidRPr="00376599">
                    <w:rPr>
                      <w:rFonts w:asciiTheme="majorHAnsi" w:hAnsiTheme="majorHAnsi" w:cs="Arial"/>
                      <w:color w:val="231F20" w:themeColor="text1"/>
                      <w:sz w:val="16"/>
                      <w:szCs w:val="16"/>
                    </w:rPr>
                    <w:t>.</w:t>
                  </w:r>
                </w:p>
              </w:tc>
              <w:tc>
                <w:tcPr>
                  <w:tcW w:w="1817" w:type="dxa"/>
                  <w:vMerge w:val="restart"/>
                  <w:shd w:val="clear" w:color="auto" w:fill="auto"/>
                </w:tcPr>
                <w:p w14:paraId="332E0AE8" w14:textId="04D11019" w:rsidR="00B66B94" w:rsidRPr="00376599" w:rsidRDefault="00B66B94" w:rsidP="00B66B94">
                  <w:pPr>
                    <w:pStyle w:val="LLNormal"/>
                    <w:spacing w:line="240" w:lineRule="auto"/>
                    <w:jc w:val="left"/>
                    <w:rPr>
                      <w:rFonts w:asciiTheme="majorHAnsi" w:hAnsiTheme="majorHAnsi"/>
                      <w:color w:val="231F20" w:themeColor="text1"/>
                      <w:sz w:val="16"/>
                      <w:szCs w:val="16"/>
                    </w:rPr>
                  </w:pPr>
                  <w:r w:rsidRPr="00B66B94">
                    <w:rPr>
                      <w:rFonts w:asciiTheme="majorHAnsi" w:hAnsiTheme="majorHAnsi"/>
                      <w:color w:val="231F20" w:themeColor="text1"/>
                      <w:sz w:val="16"/>
                      <w:szCs w:val="16"/>
                      <w:lang w:val="nl-NL"/>
                    </w:rPr>
                    <w:t>Deținerea sau gestionarea proprietății intelectuale / furnizarea de servicii către părți neafiliate</w:t>
                  </w:r>
                </w:p>
              </w:tc>
            </w:tr>
            <w:tr w:rsidR="003E6AE4" w:rsidRPr="00376599" w14:paraId="724115B3" w14:textId="77777777" w:rsidTr="00B20FE1">
              <w:trPr>
                <w:trHeight w:val="143"/>
              </w:trPr>
              <w:tc>
                <w:tcPr>
                  <w:tcW w:w="1395" w:type="dxa"/>
                  <w:vMerge/>
                  <w:shd w:val="clear" w:color="auto" w:fill="auto"/>
                </w:tcPr>
                <w:p w14:paraId="2F59B6EF"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1FCBC837"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67CCB434"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Enterprise </w:t>
                  </w:r>
                  <w:proofErr w:type="spellStart"/>
                  <w:r w:rsidRPr="00376599">
                    <w:rPr>
                      <w:rFonts w:asciiTheme="majorHAnsi" w:hAnsiTheme="majorHAnsi" w:cs="Arial"/>
                      <w:color w:val="231F20" w:themeColor="text1"/>
                      <w:sz w:val="16"/>
                      <w:szCs w:val="16"/>
                    </w:rPr>
                    <w:t>S.r.l</w:t>
                  </w:r>
                  <w:proofErr w:type="spellEnd"/>
                  <w:r w:rsidRPr="00376599">
                    <w:rPr>
                      <w:rFonts w:asciiTheme="majorHAnsi" w:hAnsiTheme="majorHAnsi" w:cs="Arial"/>
                      <w:color w:val="231F20" w:themeColor="text1"/>
                      <w:sz w:val="16"/>
                      <w:szCs w:val="16"/>
                    </w:rPr>
                    <w:t>.</w:t>
                  </w:r>
                </w:p>
              </w:tc>
              <w:tc>
                <w:tcPr>
                  <w:tcW w:w="1817" w:type="dxa"/>
                  <w:vMerge/>
                  <w:shd w:val="clear" w:color="auto" w:fill="auto"/>
                </w:tcPr>
                <w:p w14:paraId="332A2102"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28BC54C2" w14:textId="77777777" w:rsidTr="00B20FE1">
              <w:trPr>
                <w:trHeight w:val="143"/>
              </w:trPr>
              <w:tc>
                <w:tcPr>
                  <w:tcW w:w="1395" w:type="dxa"/>
                  <w:vMerge/>
                  <w:shd w:val="clear" w:color="auto" w:fill="auto"/>
                </w:tcPr>
                <w:p w14:paraId="45EA7B46"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4F880106"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2F9C1FCB"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Italy S.p.A.</w:t>
                  </w:r>
                </w:p>
              </w:tc>
              <w:tc>
                <w:tcPr>
                  <w:tcW w:w="1817" w:type="dxa"/>
                  <w:vMerge/>
                  <w:shd w:val="clear" w:color="auto" w:fill="auto"/>
                </w:tcPr>
                <w:p w14:paraId="137C75B5"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r>
            <w:tr w:rsidR="003E6AE4" w:rsidRPr="00376599" w14:paraId="177717F9" w14:textId="77777777" w:rsidTr="00B20FE1">
              <w:trPr>
                <w:trHeight w:val="143"/>
              </w:trPr>
              <w:tc>
                <w:tcPr>
                  <w:tcW w:w="1395" w:type="dxa"/>
                  <w:vMerge/>
                  <w:shd w:val="clear" w:color="auto" w:fill="auto"/>
                </w:tcPr>
                <w:p w14:paraId="5C0C4C33"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1166" w:type="dxa"/>
                  <w:vMerge/>
                  <w:shd w:val="clear" w:color="auto" w:fill="auto"/>
                </w:tcPr>
                <w:p w14:paraId="5ED4236E"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p>
              </w:tc>
              <w:tc>
                <w:tcPr>
                  <w:tcW w:w="2888" w:type="dxa"/>
                  <w:shd w:val="clear" w:color="auto" w:fill="auto"/>
                  <w:vAlign w:val="bottom"/>
                </w:tcPr>
                <w:p w14:paraId="0B602A2D"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lang w:val="it-IT"/>
                    </w:rPr>
                  </w:pPr>
                  <w:r w:rsidRPr="00376599">
                    <w:rPr>
                      <w:rFonts w:asciiTheme="majorHAnsi" w:hAnsiTheme="majorHAnsi" w:cs="Arial"/>
                      <w:color w:val="231F20" w:themeColor="text1"/>
                      <w:sz w:val="16"/>
                      <w:szCs w:val="16"/>
                      <w:lang w:val="it-IT"/>
                    </w:rPr>
                    <w:t>Gruppo Executive Societa Consortile a.r.l.</w:t>
                  </w:r>
                </w:p>
              </w:tc>
              <w:tc>
                <w:tcPr>
                  <w:tcW w:w="1817" w:type="dxa"/>
                  <w:vMerge/>
                  <w:shd w:val="clear" w:color="auto" w:fill="auto"/>
                </w:tcPr>
                <w:p w14:paraId="033EB374"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it-IT"/>
                    </w:rPr>
                  </w:pPr>
                </w:p>
              </w:tc>
            </w:tr>
            <w:tr w:rsidR="003E6AE4" w:rsidRPr="00376599" w14:paraId="0CCC5534" w14:textId="77777777" w:rsidTr="00B20FE1">
              <w:trPr>
                <w:trHeight w:val="581"/>
              </w:trPr>
              <w:tc>
                <w:tcPr>
                  <w:tcW w:w="1395" w:type="dxa"/>
                  <w:shd w:val="clear" w:color="auto" w:fill="auto"/>
                </w:tcPr>
                <w:p w14:paraId="4EDF7317" w14:textId="3A0C49D4" w:rsidR="003E6AE4" w:rsidRPr="00376599" w:rsidRDefault="00493115" w:rsidP="003E6AE4">
                  <w:pPr>
                    <w:pStyle w:val="LLNormal"/>
                    <w:spacing w:line="240" w:lineRule="auto"/>
                    <w:jc w:val="left"/>
                    <w:rPr>
                      <w:rFonts w:asciiTheme="majorHAnsi" w:hAnsiTheme="majorHAnsi"/>
                      <w:color w:val="231F20" w:themeColor="text1"/>
                      <w:sz w:val="16"/>
                      <w:szCs w:val="16"/>
                      <w:lang w:val="it-IT"/>
                    </w:rPr>
                  </w:pPr>
                  <w:r>
                    <w:rPr>
                      <w:rFonts w:asciiTheme="majorHAnsi" w:hAnsiTheme="majorHAnsi"/>
                      <w:color w:val="231F20" w:themeColor="text1"/>
                      <w:sz w:val="16"/>
                      <w:szCs w:val="16"/>
                      <w:lang w:val="it-IT"/>
                    </w:rPr>
                    <w:t>Luxemburg</w:t>
                  </w:r>
                </w:p>
              </w:tc>
              <w:tc>
                <w:tcPr>
                  <w:tcW w:w="1166" w:type="dxa"/>
                  <w:shd w:val="clear" w:color="auto" w:fill="auto"/>
                </w:tcPr>
                <w:p w14:paraId="6D4F1CB5" w14:textId="77777777" w:rsidR="003E6AE4" w:rsidRPr="00376599" w:rsidRDefault="003E6AE4" w:rsidP="003E6AE4">
                  <w:pPr>
                    <w:pStyle w:val="LLNormal"/>
                    <w:spacing w:line="240" w:lineRule="auto"/>
                    <w:jc w:val="left"/>
                    <w:rPr>
                      <w:rFonts w:asciiTheme="majorHAnsi" w:hAnsiTheme="majorHAnsi"/>
                      <w:color w:val="231F20" w:themeColor="text1"/>
                      <w:sz w:val="16"/>
                      <w:szCs w:val="16"/>
                      <w:lang w:val="it-IT"/>
                    </w:rPr>
                  </w:pPr>
                  <w:r w:rsidRPr="00376599">
                    <w:rPr>
                      <w:rFonts w:asciiTheme="majorHAnsi" w:hAnsiTheme="majorHAnsi"/>
                      <w:color w:val="231F20" w:themeColor="text1"/>
                      <w:sz w:val="16"/>
                      <w:szCs w:val="16"/>
                      <w:lang w:val="it-IT"/>
                    </w:rPr>
                    <w:t>LU</w:t>
                  </w:r>
                </w:p>
              </w:tc>
              <w:tc>
                <w:tcPr>
                  <w:tcW w:w="2888" w:type="dxa"/>
                  <w:shd w:val="clear" w:color="auto" w:fill="auto"/>
                  <w:vAlign w:val="bottom"/>
                </w:tcPr>
                <w:p w14:paraId="0F0D466A"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Belgium S.A. </w:t>
                  </w:r>
                  <w:proofErr w:type="spellStart"/>
                  <w:r w:rsidRPr="00376599">
                    <w:rPr>
                      <w:rFonts w:asciiTheme="majorHAnsi" w:hAnsiTheme="majorHAnsi" w:cs="Arial"/>
                      <w:color w:val="231F20" w:themeColor="text1"/>
                      <w:sz w:val="16"/>
                      <w:szCs w:val="16"/>
                    </w:rPr>
                    <w:t>Succursale</w:t>
                  </w:r>
                  <w:proofErr w:type="spellEnd"/>
                  <w:r w:rsidRPr="00376599">
                    <w:rPr>
                      <w:rFonts w:asciiTheme="majorHAnsi" w:hAnsiTheme="majorHAnsi" w:cs="Arial"/>
                      <w:color w:val="231F20" w:themeColor="text1"/>
                      <w:sz w:val="16"/>
                      <w:szCs w:val="16"/>
                    </w:rPr>
                    <w:t xml:space="preserve"> de Luxembourg</w:t>
                  </w:r>
                </w:p>
              </w:tc>
              <w:tc>
                <w:tcPr>
                  <w:tcW w:w="1817" w:type="dxa"/>
                  <w:shd w:val="clear" w:color="auto" w:fill="auto"/>
                </w:tcPr>
                <w:p w14:paraId="0B531153" w14:textId="26310F58"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3084C759" w14:textId="77777777" w:rsidTr="00B20FE1">
              <w:trPr>
                <w:trHeight w:val="602"/>
              </w:trPr>
              <w:tc>
                <w:tcPr>
                  <w:tcW w:w="1395" w:type="dxa"/>
                  <w:shd w:val="clear" w:color="auto" w:fill="auto"/>
                </w:tcPr>
                <w:p w14:paraId="15ED5A46" w14:textId="60AFB2C2" w:rsidR="003E6AE4" w:rsidRPr="00376599" w:rsidRDefault="00493115" w:rsidP="003E6AE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t>Polonia</w:t>
                  </w:r>
                </w:p>
              </w:tc>
              <w:tc>
                <w:tcPr>
                  <w:tcW w:w="1166" w:type="dxa"/>
                  <w:shd w:val="clear" w:color="auto" w:fill="auto"/>
                </w:tcPr>
                <w:p w14:paraId="4DACF39D"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PL</w:t>
                  </w:r>
                </w:p>
              </w:tc>
              <w:tc>
                <w:tcPr>
                  <w:tcW w:w="2888" w:type="dxa"/>
                  <w:shd w:val="clear" w:color="auto" w:fill="auto"/>
                  <w:vAlign w:val="bottom"/>
                </w:tcPr>
                <w:p w14:paraId="7F0AB31C"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Poland Sp. z </w:t>
                  </w:r>
                  <w:proofErr w:type="spellStart"/>
                  <w:r w:rsidRPr="00376599">
                    <w:rPr>
                      <w:rFonts w:asciiTheme="majorHAnsi" w:hAnsiTheme="majorHAnsi" w:cs="Arial"/>
                      <w:color w:val="231F20" w:themeColor="text1"/>
                      <w:sz w:val="16"/>
                      <w:szCs w:val="16"/>
                    </w:rPr>
                    <w:t>o.o.</w:t>
                  </w:r>
                  <w:proofErr w:type="spellEnd"/>
                </w:p>
              </w:tc>
              <w:tc>
                <w:tcPr>
                  <w:tcW w:w="1817" w:type="dxa"/>
                  <w:shd w:val="clear" w:color="auto" w:fill="auto"/>
                </w:tcPr>
                <w:p w14:paraId="58863AA6" w14:textId="3219B637"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4916AF02" w14:textId="77777777" w:rsidTr="00B20FE1">
              <w:trPr>
                <w:trHeight w:val="602"/>
              </w:trPr>
              <w:tc>
                <w:tcPr>
                  <w:tcW w:w="1395" w:type="dxa"/>
                  <w:shd w:val="clear" w:color="auto" w:fill="auto"/>
                </w:tcPr>
                <w:p w14:paraId="70E08163" w14:textId="05EE3195" w:rsidR="003E6AE4" w:rsidRPr="00376599" w:rsidRDefault="002831A0"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Portugalia</w:t>
                  </w:r>
                  <w:proofErr w:type="spellEnd"/>
                </w:p>
              </w:tc>
              <w:tc>
                <w:tcPr>
                  <w:tcW w:w="1166" w:type="dxa"/>
                  <w:shd w:val="clear" w:color="auto" w:fill="auto"/>
                </w:tcPr>
                <w:p w14:paraId="6FD0ADEB"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PT</w:t>
                  </w:r>
                </w:p>
              </w:tc>
              <w:tc>
                <w:tcPr>
                  <w:tcW w:w="2888" w:type="dxa"/>
                  <w:shd w:val="clear" w:color="auto" w:fill="auto"/>
                  <w:vAlign w:val="bottom"/>
                </w:tcPr>
                <w:p w14:paraId="33AD136C"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Portugal </w:t>
                  </w:r>
                  <w:proofErr w:type="spellStart"/>
                  <w:r w:rsidRPr="00376599">
                    <w:rPr>
                      <w:rFonts w:asciiTheme="majorHAnsi" w:hAnsiTheme="majorHAnsi" w:cs="Arial"/>
                      <w:color w:val="231F20" w:themeColor="text1"/>
                      <w:sz w:val="16"/>
                      <w:szCs w:val="16"/>
                    </w:rPr>
                    <w:t>Lda</w:t>
                  </w:r>
                  <w:proofErr w:type="spellEnd"/>
                  <w:r w:rsidRPr="00376599">
                    <w:rPr>
                      <w:rFonts w:asciiTheme="majorHAnsi" w:hAnsiTheme="majorHAnsi" w:cs="Arial"/>
                      <w:color w:val="231F20" w:themeColor="text1"/>
                      <w:sz w:val="16"/>
                      <w:szCs w:val="16"/>
                    </w:rPr>
                    <w:t>.</w:t>
                  </w:r>
                </w:p>
              </w:tc>
              <w:tc>
                <w:tcPr>
                  <w:tcW w:w="1817" w:type="dxa"/>
                  <w:shd w:val="clear" w:color="auto" w:fill="auto"/>
                </w:tcPr>
                <w:p w14:paraId="11CEE43D" w14:textId="2CB40325"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732851B2" w14:textId="77777777" w:rsidTr="00B20FE1">
              <w:trPr>
                <w:trHeight w:val="602"/>
              </w:trPr>
              <w:tc>
                <w:tcPr>
                  <w:tcW w:w="1395" w:type="dxa"/>
                  <w:shd w:val="clear" w:color="auto" w:fill="auto"/>
                </w:tcPr>
                <w:p w14:paraId="0644B812"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Romania</w:t>
                  </w:r>
                </w:p>
              </w:tc>
              <w:tc>
                <w:tcPr>
                  <w:tcW w:w="1166" w:type="dxa"/>
                  <w:shd w:val="clear" w:color="auto" w:fill="auto"/>
                </w:tcPr>
                <w:p w14:paraId="155643F0"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RO</w:t>
                  </w:r>
                </w:p>
              </w:tc>
              <w:tc>
                <w:tcPr>
                  <w:tcW w:w="2888" w:type="dxa"/>
                  <w:shd w:val="clear" w:color="auto" w:fill="auto"/>
                  <w:vAlign w:val="bottom"/>
                </w:tcPr>
                <w:p w14:paraId="297906E9"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General Logistics Systems S.</w:t>
                  </w:r>
                  <w:proofErr w:type="gramStart"/>
                  <w:r w:rsidRPr="00376599">
                    <w:rPr>
                      <w:rFonts w:asciiTheme="majorHAnsi" w:hAnsiTheme="majorHAnsi" w:cs="Arial"/>
                      <w:color w:val="231F20" w:themeColor="text1"/>
                      <w:sz w:val="16"/>
                      <w:szCs w:val="16"/>
                    </w:rPr>
                    <w:t>R.L</w:t>
                  </w:r>
                  <w:proofErr w:type="gramEnd"/>
                </w:p>
              </w:tc>
              <w:tc>
                <w:tcPr>
                  <w:tcW w:w="1817" w:type="dxa"/>
                  <w:shd w:val="clear" w:color="auto" w:fill="auto"/>
                </w:tcPr>
                <w:p w14:paraId="230ADF61" w14:textId="68C1C2C8"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228BF923" w14:textId="77777777" w:rsidTr="00B20FE1">
              <w:trPr>
                <w:trHeight w:val="581"/>
              </w:trPr>
              <w:tc>
                <w:tcPr>
                  <w:tcW w:w="1395" w:type="dxa"/>
                  <w:shd w:val="clear" w:color="auto" w:fill="auto"/>
                </w:tcPr>
                <w:p w14:paraId="6CD3021D" w14:textId="0231FFEE" w:rsidR="003E6AE4" w:rsidRPr="00376599" w:rsidRDefault="002831A0"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Slovacia</w:t>
                  </w:r>
                  <w:proofErr w:type="spellEnd"/>
                </w:p>
              </w:tc>
              <w:tc>
                <w:tcPr>
                  <w:tcW w:w="1166" w:type="dxa"/>
                  <w:shd w:val="clear" w:color="auto" w:fill="auto"/>
                </w:tcPr>
                <w:p w14:paraId="7604F477"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SK</w:t>
                  </w:r>
                </w:p>
              </w:tc>
              <w:tc>
                <w:tcPr>
                  <w:tcW w:w="2888" w:type="dxa"/>
                  <w:shd w:val="clear" w:color="auto" w:fill="auto"/>
                  <w:vAlign w:val="bottom"/>
                </w:tcPr>
                <w:p w14:paraId="372362A8"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GLS General Logistics Systems Slovakia </w:t>
                  </w:r>
                  <w:proofErr w:type="spellStart"/>
                  <w:r w:rsidRPr="00376599">
                    <w:rPr>
                      <w:rFonts w:asciiTheme="majorHAnsi" w:hAnsiTheme="majorHAnsi" w:cs="Arial"/>
                      <w:color w:val="231F20" w:themeColor="text1"/>
                      <w:sz w:val="16"/>
                      <w:szCs w:val="16"/>
                    </w:rPr>
                    <w:t>s.r.o.</w:t>
                  </w:r>
                  <w:proofErr w:type="spellEnd"/>
                </w:p>
              </w:tc>
              <w:tc>
                <w:tcPr>
                  <w:tcW w:w="1817" w:type="dxa"/>
                  <w:shd w:val="clear" w:color="auto" w:fill="auto"/>
                </w:tcPr>
                <w:p w14:paraId="638C9062" w14:textId="63CD20EA"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2949CC0B" w14:textId="77777777" w:rsidTr="00B20FE1">
              <w:trPr>
                <w:trHeight w:val="602"/>
              </w:trPr>
              <w:tc>
                <w:tcPr>
                  <w:tcW w:w="1395" w:type="dxa"/>
                  <w:shd w:val="clear" w:color="auto" w:fill="auto"/>
                </w:tcPr>
                <w:p w14:paraId="6EE17F04" w14:textId="7E2990EC" w:rsidR="003E6AE4" w:rsidRPr="00376599" w:rsidRDefault="002831A0" w:rsidP="003E6AE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lastRenderedPageBreak/>
                    <w:t>Slovenia</w:t>
                  </w:r>
                </w:p>
              </w:tc>
              <w:tc>
                <w:tcPr>
                  <w:tcW w:w="1166" w:type="dxa"/>
                  <w:shd w:val="clear" w:color="auto" w:fill="auto"/>
                </w:tcPr>
                <w:p w14:paraId="5BD2AB58"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SI</w:t>
                  </w:r>
                </w:p>
              </w:tc>
              <w:tc>
                <w:tcPr>
                  <w:tcW w:w="2888" w:type="dxa"/>
                  <w:shd w:val="clear" w:color="auto" w:fill="auto"/>
                  <w:vAlign w:val="bottom"/>
                </w:tcPr>
                <w:p w14:paraId="3C044894"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w:t>
                  </w:r>
                  <w:proofErr w:type="spellStart"/>
                  <w:r w:rsidRPr="00376599">
                    <w:rPr>
                      <w:rFonts w:asciiTheme="majorHAnsi" w:hAnsiTheme="majorHAnsi" w:cs="Arial"/>
                      <w:color w:val="231F20" w:themeColor="text1"/>
                      <w:sz w:val="16"/>
                      <w:szCs w:val="16"/>
                    </w:rPr>
                    <w:t>logisticne</w:t>
                  </w:r>
                  <w:proofErr w:type="spellEnd"/>
                  <w:r w:rsidRPr="00376599">
                    <w:rPr>
                      <w:rFonts w:asciiTheme="majorHAnsi" w:hAnsiTheme="majorHAnsi" w:cs="Arial"/>
                      <w:color w:val="231F20" w:themeColor="text1"/>
                      <w:sz w:val="16"/>
                      <w:szCs w:val="16"/>
                    </w:rPr>
                    <w:t xml:space="preserve"> </w:t>
                  </w:r>
                  <w:proofErr w:type="spellStart"/>
                  <w:r w:rsidRPr="00376599">
                    <w:rPr>
                      <w:rFonts w:asciiTheme="majorHAnsi" w:hAnsiTheme="majorHAnsi" w:cs="Arial"/>
                      <w:color w:val="231F20" w:themeColor="text1"/>
                      <w:sz w:val="16"/>
                      <w:szCs w:val="16"/>
                    </w:rPr>
                    <w:t>stortive</w:t>
                  </w:r>
                  <w:proofErr w:type="spellEnd"/>
                  <w:r w:rsidRPr="00376599">
                    <w:rPr>
                      <w:rFonts w:asciiTheme="majorHAnsi" w:hAnsiTheme="majorHAnsi" w:cs="Arial"/>
                      <w:color w:val="231F20" w:themeColor="text1"/>
                      <w:sz w:val="16"/>
                      <w:szCs w:val="16"/>
                    </w:rPr>
                    <w:t xml:space="preserve"> d.o.o.</w:t>
                  </w:r>
                </w:p>
              </w:tc>
              <w:tc>
                <w:tcPr>
                  <w:tcW w:w="1817" w:type="dxa"/>
                  <w:shd w:val="clear" w:color="auto" w:fill="auto"/>
                </w:tcPr>
                <w:p w14:paraId="0B61280A" w14:textId="454FF4E2"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6F55CEC8" w14:textId="77777777" w:rsidTr="00B20FE1">
              <w:trPr>
                <w:trHeight w:val="602"/>
              </w:trPr>
              <w:tc>
                <w:tcPr>
                  <w:tcW w:w="1395" w:type="dxa"/>
                  <w:shd w:val="clear" w:color="auto" w:fill="auto"/>
                </w:tcPr>
                <w:p w14:paraId="0F25959F" w14:textId="0395C1B2" w:rsidR="003E6AE4" w:rsidRPr="00376599" w:rsidRDefault="002831A0" w:rsidP="003E6AE4">
                  <w:pPr>
                    <w:pStyle w:val="LLNormal"/>
                    <w:spacing w:line="240" w:lineRule="auto"/>
                    <w:jc w:val="left"/>
                    <w:rPr>
                      <w:rFonts w:asciiTheme="majorHAnsi" w:hAnsiTheme="majorHAnsi"/>
                      <w:color w:val="231F20" w:themeColor="text1"/>
                      <w:sz w:val="16"/>
                      <w:szCs w:val="16"/>
                    </w:rPr>
                  </w:pPr>
                  <w:r>
                    <w:rPr>
                      <w:rFonts w:asciiTheme="majorHAnsi" w:hAnsiTheme="majorHAnsi"/>
                      <w:color w:val="231F20" w:themeColor="text1"/>
                      <w:sz w:val="16"/>
                      <w:szCs w:val="16"/>
                    </w:rPr>
                    <w:t>Spania</w:t>
                  </w:r>
                </w:p>
              </w:tc>
              <w:tc>
                <w:tcPr>
                  <w:tcW w:w="1166" w:type="dxa"/>
                  <w:shd w:val="clear" w:color="auto" w:fill="auto"/>
                </w:tcPr>
                <w:p w14:paraId="2FE99D26"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ES</w:t>
                  </w:r>
                </w:p>
              </w:tc>
              <w:tc>
                <w:tcPr>
                  <w:tcW w:w="2888" w:type="dxa"/>
                  <w:shd w:val="clear" w:color="auto" w:fill="auto"/>
                  <w:vAlign w:val="bottom"/>
                </w:tcPr>
                <w:p w14:paraId="303E90F9"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 xml:space="preserve">General Logistics Systems Spain </w:t>
                  </w:r>
                  <w:proofErr w:type="gramStart"/>
                  <w:r w:rsidRPr="00376599">
                    <w:rPr>
                      <w:rFonts w:asciiTheme="majorHAnsi" w:hAnsiTheme="majorHAnsi" w:cs="Arial"/>
                      <w:color w:val="231F20" w:themeColor="text1"/>
                      <w:sz w:val="16"/>
                      <w:szCs w:val="16"/>
                    </w:rPr>
                    <w:t>S.L</w:t>
                  </w:r>
                  <w:proofErr w:type="gramEnd"/>
                </w:p>
              </w:tc>
              <w:tc>
                <w:tcPr>
                  <w:tcW w:w="1817" w:type="dxa"/>
                  <w:shd w:val="clear" w:color="auto" w:fill="auto"/>
                </w:tcPr>
                <w:p w14:paraId="6B4C75F3" w14:textId="69213F84" w:rsidR="003E6AE4" w:rsidRPr="00376599" w:rsidRDefault="00B66B94" w:rsidP="003E6AE4">
                  <w:pPr>
                    <w:pStyle w:val="LLNormal"/>
                    <w:spacing w:line="240" w:lineRule="auto"/>
                    <w:jc w:val="left"/>
                    <w:rPr>
                      <w:rFonts w:asciiTheme="majorHAnsi" w:hAnsiTheme="majorHAnsi"/>
                      <w:color w:val="231F20" w:themeColor="text1"/>
                      <w:sz w:val="16"/>
                      <w:szCs w:val="16"/>
                    </w:rPr>
                  </w:pPr>
                  <w:r w:rsidRPr="00951781">
                    <w:rPr>
                      <w:rFonts w:asciiTheme="majorHAnsi" w:hAnsiTheme="majorHAnsi"/>
                      <w:color w:val="231F20" w:themeColor="text1"/>
                      <w:sz w:val="16"/>
                      <w:szCs w:val="16"/>
                      <w:lang w:val="nl-NL"/>
                    </w:rPr>
                    <w:t>Furnizarea de servicii către părți neafiliate</w:t>
                  </w:r>
                </w:p>
              </w:tc>
            </w:tr>
            <w:tr w:rsidR="003E6AE4" w:rsidRPr="00376599" w14:paraId="03BD80EA" w14:textId="77777777" w:rsidTr="00B20FE1">
              <w:trPr>
                <w:trHeight w:val="395"/>
              </w:trPr>
              <w:tc>
                <w:tcPr>
                  <w:tcW w:w="1395" w:type="dxa"/>
                  <w:vMerge w:val="restart"/>
                  <w:shd w:val="clear" w:color="auto" w:fill="auto"/>
                </w:tcPr>
                <w:p w14:paraId="49EAB0E3" w14:textId="4573EB50" w:rsidR="003E6AE4" w:rsidRPr="00376599" w:rsidRDefault="002831A0" w:rsidP="003E6AE4">
                  <w:pPr>
                    <w:pStyle w:val="LLNormal"/>
                    <w:spacing w:line="240" w:lineRule="auto"/>
                    <w:jc w:val="left"/>
                    <w:rPr>
                      <w:rFonts w:asciiTheme="majorHAnsi" w:hAnsiTheme="majorHAnsi"/>
                      <w:color w:val="231F20" w:themeColor="text1"/>
                      <w:sz w:val="16"/>
                      <w:szCs w:val="16"/>
                    </w:rPr>
                  </w:pPr>
                  <w:proofErr w:type="spellStart"/>
                  <w:r>
                    <w:rPr>
                      <w:rFonts w:asciiTheme="majorHAnsi" w:hAnsiTheme="majorHAnsi"/>
                      <w:color w:val="231F20" w:themeColor="text1"/>
                      <w:sz w:val="16"/>
                      <w:szCs w:val="16"/>
                    </w:rPr>
                    <w:t>Țările</w:t>
                  </w:r>
                  <w:proofErr w:type="spellEnd"/>
                  <w:r>
                    <w:rPr>
                      <w:rFonts w:asciiTheme="majorHAnsi" w:hAnsiTheme="majorHAnsi"/>
                      <w:color w:val="231F20" w:themeColor="text1"/>
                      <w:sz w:val="16"/>
                      <w:szCs w:val="16"/>
                    </w:rPr>
                    <w:t xml:space="preserve"> de Jos</w:t>
                  </w:r>
                </w:p>
              </w:tc>
              <w:tc>
                <w:tcPr>
                  <w:tcW w:w="1166" w:type="dxa"/>
                  <w:vMerge w:val="restart"/>
                  <w:shd w:val="clear" w:color="auto" w:fill="auto"/>
                </w:tcPr>
                <w:p w14:paraId="4B90D366" w14:textId="77777777" w:rsidR="003E6AE4" w:rsidRPr="00376599" w:rsidRDefault="003E6AE4" w:rsidP="003E6AE4">
                  <w:pPr>
                    <w:pStyle w:val="LLNormal"/>
                    <w:spacing w:line="240" w:lineRule="auto"/>
                    <w:jc w:val="left"/>
                    <w:rPr>
                      <w:rFonts w:asciiTheme="majorHAnsi" w:hAnsiTheme="majorHAnsi"/>
                      <w:color w:val="231F20" w:themeColor="text1"/>
                      <w:sz w:val="16"/>
                      <w:szCs w:val="16"/>
                    </w:rPr>
                  </w:pPr>
                  <w:r w:rsidRPr="00376599">
                    <w:rPr>
                      <w:rFonts w:asciiTheme="majorHAnsi" w:hAnsiTheme="majorHAnsi"/>
                      <w:color w:val="231F20" w:themeColor="text1"/>
                      <w:sz w:val="16"/>
                      <w:szCs w:val="16"/>
                    </w:rPr>
                    <w:t>NL</w:t>
                  </w:r>
                </w:p>
              </w:tc>
              <w:tc>
                <w:tcPr>
                  <w:tcW w:w="2888" w:type="dxa"/>
                  <w:shd w:val="clear" w:color="auto" w:fill="auto"/>
                  <w:vAlign w:val="bottom"/>
                </w:tcPr>
                <w:p w14:paraId="0E0ACF38"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B.V.</w:t>
                  </w:r>
                </w:p>
              </w:tc>
              <w:tc>
                <w:tcPr>
                  <w:tcW w:w="1817" w:type="dxa"/>
                  <w:vMerge w:val="restart"/>
                  <w:shd w:val="clear" w:color="auto" w:fill="auto"/>
                </w:tcPr>
                <w:p w14:paraId="4FBC3EAE" w14:textId="16F1BB5A" w:rsidR="003E6AE4" w:rsidRPr="00376599" w:rsidRDefault="00AF03B5" w:rsidP="003E6AE4">
                  <w:pPr>
                    <w:pStyle w:val="LLNormal"/>
                    <w:spacing w:line="240" w:lineRule="auto"/>
                    <w:jc w:val="left"/>
                    <w:rPr>
                      <w:rFonts w:asciiTheme="majorHAnsi" w:hAnsiTheme="majorHAnsi"/>
                      <w:color w:val="231F20" w:themeColor="text1"/>
                      <w:sz w:val="16"/>
                      <w:szCs w:val="16"/>
                    </w:rPr>
                  </w:pPr>
                  <w:r w:rsidRPr="00AF03B5">
                    <w:rPr>
                      <w:rFonts w:asciiTheme="majorHAnsi" w:hAnsiTheme="majorHAnsi"/>
                      <w:color w:val="231F20" w:themeColor="text1"/>
                      <w:sz w:val="16"/>
                      <w:szCs w:val="16"/>
                      <w:lang w:val="nl-NL"/>
                    </w:rPr>
                    <w:t>Prestarea de servicii către părți neafiliate / Deținerea de acțiuni sau alte instrumente de capitaluri proprii / Latent</w:t>
                  </w:r>
                </w:p>
              </w:tc>
            </w:tr>
            <w:tr w:rsidR="003E6AE4" w:rsidRPr="00376599" w14:paraId="45FC3D9A" w14:textId="77777777" w:rsidTr="00B20FE1">
              <w:trPr>
                <w:trHeight w:val="143"/>
              </w:trPr>
              <w:tc>
                <w:tcPr>
                  <w:tcW w:w="1395" w:type="dxa"/>
                  <w:vMerge/>
                  <w:shd w:val="solid" w:color="E6E6FA" w:fill="E6E6FA"/>
                </w:tcPr>
                <w:p w14:paraId="18075379"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1166" w:type="dxa"/>
                  <w:vMerge/>
                  <w:shd w:val="solid" w:color="E6E6FA" w:fill="E6E6FA"/>
                </w:tcPr>
                <w:p w14:paraId="6C1A00DA"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3C9F985E"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General Logistics Systems Netherlands B.V.</w:t>
                  </w:r>
                </w:p>
              </w:tc>
              <w:tc>
                <w:tcPr>
                  <w:tcW w:w="1817" w:type="dxa"/>
                  <w:vMerge/>
                  <w:shd w:val="solid" w:color="E6E6FA" w:fill="E6E6FA"/>
                </w:tcPr>
                <w:p w14:paraId="51A51AA6"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r>
            <w:tr w:rsidR="003E6AE4" w:rsidRPr="00376599" w14:paraId="0004981E" w14:textId="77777777" w:rsidTr="00B20FE1">
              <w:trPr>
                <w:trHeight w:val="143"/>
              </w:trPr>
              <w:tc>
                <w:tcPr>
                  <w:tcW w:w="1395" w:type="dxa"/>
                  <w:vMerge/>
                  <w:shd w:val="solid" w:color="E6E6FA" w:fill="E6E6FA"/>
                </w:tcPr>
                <w:p w14:paraId="78D41AFA"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1166" w:type="dxa"/>
                  <w:vMerge/>
                  <w:shd w:val="solid" w:color="E6E6FA" w:fill="E6E6FA"/>
                </w:tcPr>
                <w:p w14:paraId="7C1BE772"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558AFFB7"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Netherlands Holding B.V.</w:t>
                  </w:r>
                </w:p>
              </w:tc>
              <w:tc>
                <w:tcPr>
                  <w:tcW w:w="1817" w:type="dxa"/>
                  <w:vMerge/>
                  <w:shd w:val="solid" w:color="E6E6FA" w:fill="E6E6FA"/>
                </w:tcPr>
                <w:p w14:paraId="508100B2"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r>
            <w:tr w:rsidR="003E6AE4" w:rsidRPr="00376599" w14:paraId="07C32738" w14:textId="77777777" w:rsidTr="00B20FE1">
              <w:trPr>
                <w:trHeight w:val="143"/>
              </w:trPr>
              <w:tc>
                <w:tcPr>
                  <w:tcW w:w="1395" w:type="dxa"/>
                  <w:vMerge/>
                  <w:shd w:val="solid" w:color="E6E6FA" w:fill="E6E6FA"/>
                </w:tcPr>
                <w:p w14:paraId="4B4C5625"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1166" w:type="dxa"/>
                  <w:vMerge/>
                  <w:shd w:val="solid" w:color="E6E6FA" w:fill="E6E6FA"/>
                </w:tcPr>
                <w:p w14:paraId="4A919977"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c>
                <w:tcPr>
                  <w:tcW w:w="2888" w:type="dxa"/>
                  <w:shd w:val="clear" w:color="auto" w:fill="auto"/>
                  <w:vAlign w:val="bottom"/>
                </w:tcPr>
                <w:p w14:paraId="4EB951A2" w14:textId="77777777" w:rsidR="003E6AE4" w:rsidRPr="00376599" w:rsidRDefault="003E6AE4" w:rsidP="003E6AE4">
                  <w:pPr>
                    <w:pStyle w:val="LLNormal"/>
                    <w:spacing w:line="240" w:lineRule="auto"/>
                    <w:jc w:val="left"/>
                    <w:rPr>
                      <w:rFonts w:asciiTheme="majorHAnsi" w:hAnsiTheme="majorHAnsi" w:cs="Arial"/>
                      <w:color w:val="231F20" w:themeColor="text1"/>
                      <w:sz w:val="16"/>
                      <w:szCs w:val="16"/>
                    </w:rPr>
                  </w:pPr>
                  <w:r w:rsidRPr="00376599">
                    <w:rPr>
                      <w:rFonts w:asciiTheme="majorHAnsi" w:hAnsiTheme="majorHAnsi" w:cs="Arial"/>
                      <w:color w:val="231F20" w:themeColor="text1"/>
                      <w:sz w:val="16"/>
                      <w:szCs w:val="16"/>
                    </w:rPr>
                    <w:t>GLS Netherlands Services B.V.</w:t>
                  </w:r>
                </w:p>
              </w:tc>
              <w:tc>
                <w:tcPr>
                  <w:tcW w:w="1817" w:type="dxa"/>
                  <w:vMerge/>
                  <w:shd w:val="solid" w:color="E6E6FA" w:fill="E6E6FA"/>
                </w:tcPr>
                <w:p w14:paraId="367D80CE" w14:textId="77777777" w:rsidR="003E6AE4" w:rsidRPr="00376599" w:rsidRDefault="003E6AE4" w:rsidP="003E6AE4">
                  <w:pPr>
                    <w:pStyle w:val="LLNormal"/>
                    <w:spacing w:line="240" w:lineRule="auto"/>
                    <w:jc w:val="left"/>
                    <w:rPr>
                      <w:rFonts w:asciiTheme="majorHAnsi" w:hAnsiTheme="majorHAnsi"/>
                      <w:color w:val="0000FF"/>
                      <w:sz w:val="16"/>
                      <w:szCs w:val="16"/>
                      <w:u w:val="double"/>
                    </w:rPr>
                  </w:pPr>
                </w:p>
              </w:tc>
            </w:tr>
          </w:tbl>
          <w:p w14:paraId="3E63B441" w14:textId="1F08D974" w:rsidR="00FB4D96" w:rsidRPr="00970E78" w:rsidRDefault="00FB4D96" w:rsidP="00FB4D96">
            <w:pPr>
              <w:pStyle w:val="LLNormal"/>
              <w:spacing w:line="240" w:lineRule="auto"/>
              <w:rPr>
                <w:rFonts w:asciiTheme="majorHAnsi" w:hAnsiTheme="majorHAnsi"/>
                <w:szCs w:val="20"/>
              </w:rPr>
            </w:pPr>
            <w:r w:rsidRPr="00970E78">
              <w:rPr>
                <w:rFonts w:asciiTheme="majorHAnsi" w:hAnsiTheme="majorHAnsi"/>
                <w:b/>
                <w:bCs/>
                <w:szCs w:val="20"/>
              </w:rPr>
              <w:t xml:space="preserve">Section 4 – </w:t>
            </w:r>
            <w:r w:rsidR="00581C14" w:rsidRPr="00581C14">
              <w:rPr>
                <w:rFonts w:asciiTheme="majorHAnsi" w:hAnsiTheme="majorHAnsi"/>
                <w:b/>
                <w:bCs/>
                <w:szCs w:val="20"/>
                <w:lang w:val="nl-NL"/>
              </w:rPr>
              <w:t>Informații omise temporar</w:t>
            </w:r>
          </w:p>
          <w:p w14:paraId="1677B1B6" w14:textId="325DA6C5" w:rsidR="0050408A" w:rsidRPr="00970E78" w:rsidRDefault="009B5C6F" w:rsidP="00FB4D96">
            <w:pPr>
              <w:pStyle w:val="LLNormal"/>
              <w:spacing w:line="240" w:lineRule="auto"/>
              <w:rPr>
                <w:rFonts w:asciiTheme="majorHAnsi" w:hAnsiTheme="majorHAnsi"/>
                <w:szCs w:val="20"/>
              </w:rPr>
            </w:pPr>
            <w:r w:rsidRPr="009B5C6F">
              <w:rPr>
                <w:rFonts w:asciiTheme="majorHAnsi" w:hAnsiTheme="majorHAnsi"/>
                <w:szCs w:val="20"/>
                <w:lang w:val="nl-NL"/>
              </w:rPr>
              <w:t>Informații omise temporar pentru acest exercițiu financiar</w:t>
            </w:r>
            <w:r w:rsidR="00FB4D96" w:rsidRPr="00970E78">
              <w:rPr>
                <w:rFonts w:asciiTheme="majorHAnsi" w:hAnsiTheme="majorHAnsi"/>
                <w:szCs w:val="20"/>
              </w:rPr>
              <w:t xml:space="preserve">: </w:t>
            </w:r>
          </w:p>
          <w:p w14:paraId="0C3480A8" w14:textId="77777777" w:rsidR="00BA08C5" w:rsidRDefault="00BA08C5" w:rsidP="0050408A">
            <w:pPr>
              <w:pStyle w:val="LLNormal"/>
              <w:pBdr>
                <w:top w:val="single" w:sz="4" w:space="1" w:color="auto"/>
                <w:left w:val="single" w:sz="4" w:space="4" w:color="auto"/>
                <w:bottom w:val="single" w:sz="4" w:space="1" w:color="auto"/>
                <w:right w:val="single" w:sz="4" w:space="4" w:color="auto"/>
              </w:pBdr>
              <w:spacing w:line="240" w:lineRule="auto"/>
              <w:rPr>
                <w:rFonts w:asciiTheme="majorHAnsi" w:eastAsiaTheme="minorHAnsi" w:hAnsiTheme="majorHAnsi" w:cstheme="minorBidi"/>
                <w:color w:val="231F20" w:themeColor="text1"/>
                <w:szCs w:val="20"/>
                <w:lang w:val="nl-NL"/>
              </w:rPr>
            </w:pPr>
            <w:r w:rsidRPr="00BA08C5">
              <w:rPr>
                <w:rFonts w:asciiTheme="majorHAnsi" w:eastAsiaTheme="minorHAnsi" w:hAnsiTheme="majorHAnsi" w:cstheme="minorBidi"/>
                <w:color w:val="231F20" w:themeColor="text1"/>
                <w:szCs w:val="20"/>
                <w:lang w:val="nl-NL"/>
              </w:rPr>
              <w:t>În conformitate cu legislația română, IDS/GLS nu dezvăluie temporar nicio informație pentru jurisdicțiile în care își desfășoară activitatea cu privire la venituri, profit (pierdere) înainte de impozitul pe profit, impozitul pe venit plătit – pe bază de numerar, impozitul pe profit acumulat – anul curent, câștigurile acumulate și numărul de angajați. Industria în care IDS/GLS operează este o industrie foarte competitivă, în care concurența se bazează pe preț și experiență. Dezvăluirea imediată a informațiilor specifice jurisdicției va prejudicia grav poziția comercială a IDS/GLS.</w:t>
            </w:r>
            <w:r w:rsidRPr="00BA08C5">
              <w:rPr>
                <w:rFonts w:asciiTheme="majorHAnsi" w:eastAsiaTheme="minorHAnsi" w:hAnsiTheme="majorHAnsi" w:cstheme="minorBidi"/>
                <w:color w:val="231F20" w:themeColor="text1"/>
                <w:szCs w:val="20"/>
                <w:lang w:val="nl-NL"/>
              </w:rPr>
              <w:br/>
            </w:r>
          </w:p>
          <w:p w14:paraId="532F7A88" w14:textId="41238F12" w:rsidR="003E6AE4" w:rsidRPr="00EA35D4" w:rsidRDefault="00BA08C5" w:rsidP="0050408A">
            <w:pPr>
              <w:pStyle w:val="LLNormal"/>
              <w:pBdr>
                <w:top w:val="single" w:sz="4" w:space="1" w:color="auto"/>
                <w:left w:val="single" w:sz="4" w:space="4" w:color="auto"/>
                <w:bottom w:val="single" w:sz="4" w:space="1" w:color="auto"/>
                <w:right w:val="single" w:sz="4" w:space="4" w:color="auto"/>
              </w:pBdr>
              <w:spacing w:line="240" w:lineRule="auto"/>
              <w:rPr>
                <w:b/>
                <w:bCs/>
                <w:szCs w:val="20"/>
                <w:lang w:val="nl-NL"/>
              </w:rPr>
            </w:pPr>
            <w:r w:rsidRPr="00BA08C5">
              <w:rPr>
                <w:rFonts w:asciiTheme="majorHAnsi" w:eastAsiaTheme="minorHAnsi" w:hAnsiTheme="majorHAnsi" w:cstheme="minorBidi"/>
                <w:color w:val="231F20" w:themeColor="text1"/>
                <w:szCs w:val="20"/>
                <w:lang w:val="nl-NL"/>
              </w:rPr>
              <w:t>IDS/GLS va face publice informațiile relevante în publicațiile ulterioare de raportare publică pentru fiecare țară în parte, în timp util. IDS/GLS rămâne angajat și sprijină toate inițiativele de transparență corporativă.</w:t>
            </w:r>
          </w:p>
        </w:tc>
      </w:tr>
    </w:tbl>
    <w:p w14:paraId="781060E6" w14:textId="77777777" w:rsidR="007C5414" w:rsidRPr="00970E78" w:rsidRDefault="007C5414" w:rsidP="00A71D41">
      <w:pPr>
        <w:rPr>
          <w:rFonts w:asciiTheme="majorHAnsi" w:hAnsiTheme="majorHAnsi"/>
          <w:sz w:val="20"/>
          <w:szCs w:val="20"/>
          <w:lang w:val="ro-RO"/>
        </w:rPr>
        <w:sectPr w:rsidR="007C5414" w:rsidRPr="00970E78" w:rsidSect="00EA35D4">
          <w:headerReference w:type="default" r:id="rId7"/>
          <w:footerReference w:type="default" r:id="rId8"/>
          <w:headerReference w:type="first" r:id="rId9"/>
          <w:pgSz w:w="16838" w:h="11906" w:orient="landscape" w:code="9"/>
          <w:pgMar w:top="1656" w:right="2807" w:bottom="1418" w:left="2410" w:header="709" w:footer="709" w:gutter="0"/>
          <w:cols w:sep="1" w:space="720"/>
          <w:titlePg/>
          <w:docGrid w:linePitch="360"/>
        </w:sectPr>
      </w:pPr>
    </w:p>
    <w:p w14:paraId="42A3CBB5" w14:textId="15A29F54" w:rsidR="00D32500" w:rsidRDefault="00D32500" w:rsidP="00D32500">
      <w:pPr>
        <w:jc w:val="center"/>
        <w:rPr>
          <w:rFonts w:asciiTheme="majorHAnsi" w:hAnsiTheme="majorHAnsi"/>
          <w:sz w:val="20"/>
          <w:szCs w:val="20"/>
          <w:lang w:val="ro-RO"/>
        </w:rPr>
      </w:pPr>
      <w:r>
        <w:rPr>
          <w:rFonts w:asciiTheme="majorHAnsi" w:hAnsiTheme="majorHAnsi"/>
          <w:sz w:val="20"/>
          <w:szCs w:val="20"/>
          <w:lang w:val="ro-RO"/>
        </w:rPr>
        <w:lastRenderedPageBreak/>
        <w:t>by</w:t>
      </w:r>
    </w:p>
    <w:p w14:paraId="0D1EAF41" w14:textId="333FE585" w:rsidR="00AB360A" w:rsidRDefault="00D32500" w:rsidP="00D32500">
      <w:pPr>
        <w:jc w:val="center"/>
        <w:rPr>
          <w:rFonts w:asciiTheme="majorHAnsi" w:hAnsiTheme="majorHAnsi"/>
          <w:sz w:val="20"/>
          <w:szCs w:val="20"/>
          <w:lang w:val="ro-RO"/>
        </w:rPr>
      </w:pPr>
      <w:r>
        <w:rPr>
          <w:rFonts w:asciiTheme="majorHAnsi" w:hAnsiTheme="majorHAnsi"/>
          <w:sz w:val="20"/>
          <w:szCs w:val="20"/>
          <w:lang w:val="ro-RO"/>
        </w:rPr>
        <w:t xml:space="preserve">      Division Manager                                   </w:t>
      </w:r>
    </w:p>
    <w:p w14:paraId="2C3B18D9" w14:textId="652B126B" w:rsidR="00D32500" w:rsidRPr="00970E78" w:rsidRDefault="00D32500" w:rsidP="00D32500">
      <w:pPr>
        <w:jc w:val="center"/>
        <w:rPr>
          <w:rFonts w:asciiTheme="majorHAnsi" w:hAnsiTheme="majorHAnsi"/>
          <w:sz w:val="20"/>
          <w:szCs w:val="20"/>
          <w:lang w:val="ro-RO"/>
        </w:rPr>
      </w:pPr>
      <w:r>
        <w:rPr>
          <w:rFonts w:asciiTheme="majorHAnsi" w:hAnsiTheme="majorHAnsi"/>
          <w:sz w:val="20"/>
          <w:szCs w:val="20"/>
          <w:lang w:val="ro-RO"/>
        </w:rPr>
        <w:t>Lucian Jeder</w:t>
      </w:r>
    </w:p>
    <w:sectPr w:rsidR="00D32500" w:rsidRPr="00970E78" w:rsidSect="00EA35D4">
      <w:pgSz w:w="11906" w:h="16838" w:code="9"/>
      <w:pgMar w:top="2807" w:right="1418" w:bottom="2410" w:left="1656" w:header="709" w:footer="709"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604E" w14:textId="77777777" w:rsidR="00BA5B4A" w:rsidRDefault="00BA5B4A" w:rsidP="0091341B">
      <w:pPr>
        <w:spacing w:line="240" w:lineRule="auto"/>
      </w:pPr>
      <w:r>
        <w:separator/>
      </w:r>
    </w:p>
  </w:endnote>
  <w:endnote w:type="continuationSeparator" w:id="0">
    <w:p w14:paraId="41844C04" w14:textId="77777777" w:rsidR="00BA5B4A" w:rsidRDefault="00BA5B4A" w:rsidP="00913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Newson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C2103" w14:textId="77777777" w:rsidR="0084242A" w:rsidRDefault="007E6DE2">
    <w:pPr>
      <w:pStyle w:val="Footer"/>
    </w:pPr>
    <w:r w:rsidRPr="0084242A">
      <w:rPr>
        <w:noProof/>
        <w:lang w:eastAsia="nl-NL"/>
      </w:rPr>
      <mc:AlternateContent>
        <mc:Choice Requires="wps">
          <w:drawing>
            <wp:anchor distT="0" distB="0" distL="114300" distR="114300" simplePos="0" relativeHeight="251666432" behindDoc="0" locked="0" layoutInCell="1" allowOverlap="1" wp14:anchorId="1D81603F" wp14:editId="075612AD">
              <wp:simplePos x="0" y="0"/>
              <wp:positionH relativeFrom="column">
                <wp:posOffset>5483860</wp:posOffset>
              </wp:positionH>
              <wp:positionV relativeFrom="paragraph">
                <wp:posOffset>-44767</wp:posOffset>
              </wp:positionV>
              <wp:extent cx="628650" cy="223520"/>
              <wp:effectExtent l="0" t="0" r="0" b="5080"/>
              <wp:wrapNone/>
              <wp:docPr id="26" name="Tekstvak 26"/>
              <wp:cNvGraphicFramePr/>
              <a:graphic xmlns:a="http://schemas.openxmlformats.org/drawingml/2006/main">
                <a:graphicData uri="http://schemas.microsoft.com/office/word/2010/wordprocessingShape">
                  <wps:wsp>
                    <wps:cNvSpPr txBox="1"/>
                    <wps:spPr>
                      <a:xfrm>
                        <a:off x="0" y="0"/>
                        <a:ext cx="628650" cy="22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EE9AF" w14:textId="77777777" w:rsidR="0084242A" w:rsidRPr="006F7FC5" w:rsidRDefault="006F7FC5" w:rsidP="006F7FC5">
                          <w:pPr>
                            <w:pStyle w:val="Footer"/>
                            <w:jc w:val="right"/>
                          </w:pPr>
                          <w:r w:rsidRPr="006F7FC5">
                            <w:fldChar w:fldCharType="begin"/>
                          </w:r>
                          <w:r w:rsidRPr="006F7FC5">
                            <w:instrText>PAGE  \* Arabic  \* MERGEFORMAT</w:instrText>
                          </w:r>
                          <w:r w:rsidRPr="006F7FC5">
                            <w:fldChar w:fldCharType="separate"/>
                          </w:r>
                          <w:r w:rsidR="00794D76">
                            <w:rPr>
                              <w:noProof/>
                            </w:rPr>
                            <w:t>2</w:t>
                          </w:r>
                          <w:r w:rsidRPr="006F7FC5">
                            <w:fldChar w:fldCharType="end"/>
                          </w:r>
                          <w:r w:rsidRPr="006F7FC5">
                            <w:t>/</w:t>
                          </w:r>
                          <w:fldSimple w:instr="NUMPAGES  \* Arabic  \* MERGEFORMAT">
                            <w:r w:rsidR="00794D76">
                              <w:rPr>
                                <w:noProof/>
                              </w:rPr>
                              <w:t>2</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603F" id="_x0000_t202" coordsize="21600,21600" o:spt="202" path="m,l,21600r21600,l21600,xe">
              <v:stroke joinstyle="miter"/>
              <v:path gradientshapeok="t" o:connecttype="rect"/>
            </v:shapetype>
            <v:shape id="Tekstvak 26" o:spid="_x0000_s1026" type="#_x0000_t202" style="position:absolute;margin-left:431.8pt;margin-top:-3.5pt;width:49.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" filled="f" stroked="f" strokeweight=".5pt">
              <v:textbox>
                <w:txbxContent>
                  <w:p w14:paraId="781EE9AF" w14:textId="77777777" w:rsidR="0084242A" w:rsidRPr="006F7FC5" w:rsidRDefault="006F7FC5" w:rsidP="006F7FC5">
                    <w:pPr>
                      <w:pStyle w:val="Footer"/>
                      <w:jc w:val="right"/>
                    </w:pPr>
                    <w:r w:rsidRPr="006F7FC5">
                      <w:fldChar w:fldCharType="begin"/>
                    </w:r>
                    <w:r w:rsidRPr="006F7FC5">
                      <w:instrText>PAGE  \* Arabic  \* MERGEFORMAT</w:instrText>
                    </w:r>
                    <w:r w:rsidRPr="006F7FC5">
                      <w:fldChar w:fldCharType="separate"/>
                    </w:r>
                    <w:r w:rsidR="00794D76">
                      <w:rPr>
                        <w:noProof/>
                      </w:rPr>
                      <w:t>2</w:t>
                    </w:r>
                    <w:r w:rsidRPr="006F7FC5">
                      <w:fldChar w:fldCharType="end"/>
                    </w:r>
                    <w:r w:rsidRPr="006F7FC5">
                      <w:t>/</w:t>
                    </w:r>
                    <w:fldSimple w:instr="NUMPAGES  \* Arabic  \* MERGEFORMAT">
                      <w:r w:rsidR="00794D76">
                        <w:rPr>
                          <w:noProof/>
                        </w:rP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34F21" w14:textId="77777777" w:rsidR="00BA5B4A" w:rsidRDefault="00BA5B4A" w:rsidP="0091341B">
      <w:pPr>
        <w:spacing w:line="240" w:lineRule="auto"/>
      </w:pPr>
      <w:r>
        <w:separator/>
      </w:r>
    </w:p>
  </w:footnote>
  <w:footnote w:type="continuationSeparator" w:id="0">
    <w:p w14:paraId="1B39EBC0" w14:textId="77777777" w:rsidR="00BA5B4A" w:rsidRDefault="00BA5B4A" w:rsidP="00913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B150C" w14:textId="77777777" w:rsidR="004102A1" w:rsidRDefault="00794D76">
    <w:pPr>
      <w:pStyle w:val="Header"/>
    </w:pPr>
    <w:r>
      <w:rPr>
        <w:noProof/>
        <w:lang w:eastAsia="nl-NL"/>
      </w:rPr>
      <w:drawing>
        <wp:anchor distT="0" distB="0" distL="114300" distR="114300" simplePos="0" relativeHeight="251672576" behindDoc="0" locked="0" layoutInCell="1" allowOverlap="1" wp14:anchorId="33A3C13C" wp14:editId="6D477937">
          <wp:simplePos x="0" y="0"/>
          <wp:positionH relativeFrom="column">
            <wp:posOffset>6740387</wp:posOffset>
          </wp:positionH>
          <wp:positionV relativeFrom="page">
            <wp:posOffset>131114</wp:posOffset>
          </wp:positionV>
          <wp:extent cx="1846800" cy="702000"/>
          <wp:effectExtent l="0" t="0" r="0" b="3175"/>
          <wp:wrapNone/>
          <wp:docPr id="139158148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_2021_RGB_GLSBlue.png"/>
                  <pic:cNvPicPr/>
                </pic:nvPicPr>
                <pic:blipFill>
                  <a:blip r:embed="rId1">
                    <a:extLst>
                      <a:ext uri="{28A0092B-C50C-407E-A947-70E740481C1C}">
                        <a14:useLocalDpi xmlns:a14="http://schemas.microsoft.com/office/drawing/2010/main" val="0"/>
                      </a:ext>
                    </a:extLst>
                  </a:blip>
                  <a:stretch>
                    <a:fillRect/>
                  </a:stretch>
                </pic:blipFill>
                <pic:spPr>
                  <a:xfrm>
                    <a:off x="0" y="0"/>
                    <a:ext cx="1846800" cy="70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65B7" w14:textId="72544707" w:rsidR="0091341B" w:rsidRDefault="0050408A" w:rsidP="00802F53">
    <w:pPr>
      <w:pStyle w:val="Header"/>
      <w:ind w:left="2410"/>
    </w:pPr>
    <w:r>
      <w:rPr>
        <w:noProof/>
        <w:lang w:eastAsia="nl-NL"/>
      </w:rPr>
      <w:drawing>
        <wp:anchor distT="0" distB="0" distL="114300" distR="114300" simplePos="0" relativeHeight="251654144" behindDoc="0" locked="0" layoutInCell="1" allowOverlap="1" wp14:anchorId="0C173CC2" wp14:editId="616D5777">
          <wp:simplePos x="0" y="0"/>
          <wp:positionH relativeFrom="column">
            <wp:posOffset>6873102</wp:posOffset>
          </wp:positionH>
          <wp:positionV relativeFrom="page">
            <wp:posOffset>145001</wp:posOffset>
          </wp:positionV>
          <wp:extent cx="1846800" cy="702000"/>
          <wp:effectExtent l="0" t="0" r="0" b="3175"/>
          <wp:wrapNone/>
          <wp:docPr id="26720667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_Logo_2021_RGB_GLSBlue.png"/>
                  <pic:cNvPicPr/>
                </pic:nvPicPr>
                <pic:blipFill>
                  <a:blip r:embed="rId1">
                    <a:extLst>
                      <a:ext uri="{28A0092B-C50C-407E-A947-70E740481C1C}">
                        <a14:useLocalDpi xmlns:a14="http://schemas.microsoft.com/office/drawing/2010/main" val="0"/>
                      </a:ext>
                    </a:extLst>
                  </a:blip>
                  <a:stretch>
                    <a:fillRect/>
                  </a:stretch>
                </pic:blipFill>
                <pic:spPr>
                  <a:xfrm>
                    <a:off x="0" y="0"/>
                    <a:ext cx="1846800" cy="702000"/>
                  </a:xfrm>
                  <a:prstGeom prst="rect">
                    <a:avLst/>
                  </a:prstGeom>
                </pic:spPr>
              </pic:pic>
            </a:graphicData>
          </a:graphic>
          <wp14:sizeRelH relativeFrom="page">
            <wp14:pctWidth>0</wp14:pctWidth>
          </wp14:sizeRelH>
          <wp14:sizeRelV relativeFrom="page">
            <wp14:pctHeight>0</wp14:pctHeight>
          </wp14:sizeRelV>
        </wp:anchor>
      </w:drawing>
    </w:r>
    <w:r w:rsidR="00670C93">
      <w:rPr>
        <w:noProof/>
        <w:lang w:eastAsia="nl-NL"/>
      </w:rPr>
      <mc:AlternateContent>
        <mc:Choice Requires="wps">
          <w:drawing>
            <wp:anchor distT="0" distB="0" distL="114300" distR="114300" simplePos="0" relativeHeight="251660288" behindDoc="0" locked="0" layoutInCell="1" allowOverlap="1" wp14:anchorId="63D08B87" wp14:editId="561E6545">
              <wp:simplePos x="0" y="0"/>
              <wp:positionH relativeFrom="column">
                <wp:posOffset>-594360</wp:posOffset>
              </wp:positionH>
              <wp:positionV relativeFrom="paragraph">
                <wp:posOffset>-335915</wp:posOffset>
              </wp:positionV>
              <wp:extent cx="1819275" cy="1628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45903B" w14:textId="7B57D3D2" w:rsidR="00670C93" w:rsidRDefault="00670C93" w:rsidP="00670C93">
                          <w:pPr>
                            <w:jc w:val="both"/>
                            <w:rPr>
                              <w:rFonts w:ascii="Verdana" w:hAnsi="Verdana"/>
                              <w:b/>
                              <w:sz w:val="20"/>
                              <w:szCs w:val="20"/>
                              <w:lang w:val="en-GB"/>
                            </w:rPr>
                          </w:pPr>
                          <w:r w:rsidRPr="00321AD5">
                            <w:rPr>
                              <w:rFonts w:ascii="Verdana" w:hAnsi="Verdana"/>
                              <w:b/>
                              <w:sz w:val="20"/>
                              <w:szCs w:val="20"/>
                              <w:lang w:val="en-GB"/>
                            </w:rPr>
                            <w:t>GLS General Logistics Systems Romania SRL</w:t>
                          </w:r>
                        </w:p>
                        <w:p w14:paraId="73662A0E" w14:textId="4E1F94D8" w:rsidR="00670C93" w:rsidRPr="00321AD5" w:rsidRDefault="007C2012" w:rsidP="00670C93">
                          <w:pPr>
                            <w:jc w:val="both"/>
                            <w:rPr>
                              <w:rFonts w:ascii="Verdana" w:hAnsi="Verdana"/>
                              <w:b/>
                              <w:sz w:val="20"/>
                              <w:szCs w:val="20"/>
                              <w:lang w:val="en-GB"/>
                            </w:rPr>
                          </w:pPr>
                          <w:r>
                            <w:rPr>
                              <w:rFonts w:ascii="Verdana" w:hAnsi="Verdana"/>
                              <w:b/>
                              <w:sz w:val="20"/>
                              <w:szCs w:val="20"/>
                              <w:lang w:val="en-GB"/>
                            </w:rPr>
                            <w:t>CUI: RO21611392</w:t>
                          </w:r>
                        </w:p>
                        <w:p w14:paraId="18BAF4D6" w14:textId="77777777" w:rsidR="00670C93" w:rsidRPr="00321AD5" w:rsidRDefault="00670C93" w:rsidP="00670C93">
                          <w:pPr>
                            <w:jc w:val="both"/>
                            <w:rPr>
                              <w:rFonts w:ascii="Verdana" w:hAnsi="Verdana"/>
                              <w:szCs w:val="18"/>
                              <w:lang w:val="it-IT"/>
                            </w:rPr>
                          </w:pPr>
                          <w:r w:rsidRPr="00321AD5">
                            <w:rPr>
                              <w:rFonts w:ascii="Verdana" w:hAnsi="Verdana"/>
                              <w:szCs w:val="18"/>
                              <w:lang w:val="it-IT"/>
                            </w:rPr>
                            <w:t>Str. Ștefan cel Mare, Nr. 3, Parc Industrial Șelimbăr</w:t>
                          </w:r>
                        </w:p>
                        <w:p w14:paraId="574F8192" w14:textId="77777777" w:rsidR="00670C93" w:rsidRPr="00321AD5" w:rsidRDefault="00670C93" w:rsidP="00670C93">
                          <w:pPr>
                            <w:jc w:val="both"/>
                            <w:rPr>
                              <w:rFonts w:ascii="Verdana" w:hAnsi="Verdana"/>
                              <w:szCs w:val="18"/>
                              <w:lang w:val="ro-RO"/>
                            </w:rPr>
                          </w:pPr>
                          <w:r w:rsidRPr="00321AD5">
                            <w:rPr>
                              <w:rFonts w:ascii="Verdana" w:hAnsi="Verdana"/>
                              <w:szCs w:val="18"/>
                              <w:lang w:val="it-IT"/>
                            </w:rPr>
                            <w:t>557260, Șelimbăr,</w:t>
                          </w:r>
                          <w:r w:rsidRPr="00321AD5">
                            <w:rPr>
                              <w:rFonts w:ascii="Verdana" w:hAnsi="Verdana"/>
                              <w:szCs w:val="18"/>
                              <w:lang w:val="en-GB"/>
                            </w:rPr>
                            <w:t xml:space="preserve"> </w:t>
                          </w:r>
                          <w:r w:rsidRPr="00321AD5">
                            <w:rPr>
                              <w:rFonts w:ascii="Verdana" w:hAnsi="Verdana"/>
                              <w:szCs w:val="18"/>
                              <w:lang w:val="ro-RO"/>
                            </w:rPr>
                            <w:t>România</w:t>
                          </w:r>
                        </w:p>
                        <w:p w14:paraId="202A90FD" w14:textId="77777777" w:rsidR="00670C93" w:rsidRPr="00321AD5" w:rsidRDefault="00670C93" w:rsidP="00670C93">
                          <w:pPr>
                            <w:jc w:val="both"/>
                            <w:rPr>
                              <w:rFonts w:ascii="Verdana" w:hAnsi="Verdana"/>
                              <w:szCs w:val="18"/>
                              <w:lang w:val="it-IT"/>
                            </w:rPr>
                          </w:pPr>
                        </w:p>
                        <w:p w14:paraId="1C08F050" w14:textId="77777777"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Telefon: +40 (269) 501 900</w:t>
                          </w:r>
                        </w:p>
                        <w:p w14:paraId="48B02857" w14:textId="2926BF21"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 xml:space="preserve"> Fax:+40 (269) 501 950</w:t>
                          </w:r>
                        </w:p>
                        <w:p w14:paraId="29086E71" w14:textId="77777777"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 xml:space="preserve">Web: </w:t>
                          </w:r>
                          <w:hyperlink r:id="rId2" w:history="1">
                            <w:r w:rsidRPr="00321AD5">
                              <w:rPr>
                                <w:rStyle w:val="Hyperlink"/>
                                <w:rFonts w:ascii="Verdana" w:hAnsi="Verdana"/>
                                <w:szCs w:val="18"/>
                                <w:lang w:val="it-IT"/>
                              </w:rPr>
                              <w:t>www.gls-romania.ro</w:t>
                            </w:r>
                          </w:hyperlink>
                        </w:p>
                        <w:p w14:paraId="4381C0EA" w14:textId="77777777" w:rsidR="00670C93" w:rsidRPr="00321AD5" w:rsidRDefault="00670C93" w:rsidP="00670C93">
                          <w:pPr>
                            <w:tabs>
                              <w:tab w:val="left" w:pos="851"/>
                            </w:tabs>
                            <w:jc w:val="both"/>
                            <w:rPr>
                              <w:sz w:val="16"/>
                              <w:szCs w:val="24"/>
                              <w:lang w:val="it-IT"/>
                            </w:rPr>
                          </w:pPr>
                          <w:r w:rsidRPr="00321AD5">
                            <w:rPr>
                              <w:sz w:val="16"/>
                              <w:szCs w:val="24"/>
                              <w:lang w:val="it-IT"/>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08B87" id="_x0000_t202" coordsize="21600,21600" o:spt="202" path="m,l,21600r21600,l21600,xe">
              <v:stroke joinstyle="miter"/>
              <v:path gradientshapeok="t" o:connecttype="rect"/>
            </v:shapetype>
            <v:shape id="Text Box 2" o:spid="_x0000_s1027" type="#_x0000_t202" style="position:absolute;left:0;text-align:left;margin-left:-46.8pt;margin-top:-26.45pt;width:143.2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" stroked="f">
              <v:textbox>
                <w:txbxContent>
                  <w:p w14:paraId="4545903B" w14:textId="7B57D3D2" w:rsidR="00670C93" w:rsidRDefault="00670C93" w:rsidP="00670C93">
                    <w:pPr>
                      <w:jc w:val="both"/>
                      <w:rPr>
                        <w:rFonts w:ascii="Verdana" w:hAnsi="Verdana"/>
                        <w:b/>
                        <w:sz w:val="20"/>
                        <w:szCs w:val="20"/>
                        <w:lang w:val="en-GB"/>
                      </w:rPr>
                    </w:pPr>
                    <w:r w:rsidRPr="00321AD5">
                      <w:rPr>
                        <w:rFonts w:ascii="Verdana" w:hAnsi="Verdana"/>
                        <w:b/>
                        <w:sz w:val="20"/>
                        <w:szCs w:val="20"/>
                        <w:lang w:val="en-GB"/>
                      </w:rPr>
                      <w:t>GLS General Logistics Systems Romania SRL</w:t>
                    </w:r>
                  </w:p>
                  <w:p w14:paraId="73662A0E" w14:textId="4E1F94D8" w:rsidR="00670C93" w:rsidRPr="00321AD5" w:rsidRDefault="007C2012" w:rsidP="00670C93">
                    <w:pPr>
                      <w:jc w:val="both"/>
                      <w:rPr>
                        <w:rFonts w:ascii="Verdana" w:hAnsi="Verdana"/>
                        <w:b/>
                        <w:sz w:val="20"/>
                        <w:szCs w:val="20"/>
                        <w:lang w:val="en-GB"/>
                      </w:rPr>
                    </w:pPr>
                    <w:r>
                      <w:rPr>
                        <w:rFonts w:ascii="Verdana" w:hAnsi="Verdana"/>
                        <w:b/>
                        <w:sz w:val="20"/>
                        <w:szCs w:val="20"/>
                        <w:lang w:val="en-GB"/>
                      </w:rPr>
                      <w:t>CUI: RO21611392</w:t>
                    </w:r>
                  </w:p>
                  <w:p w14:paraId="18BAF4D6" w14:textId="77777777" w:rsidR="00670C93" w:rsidRPr="00321AD5" w:rsidRDefault="00670C93" w:rsidP="00670C93">
                    <w:pPr>
                      <w:jc w:val="both"/>
                      <w:rPr>
                        <w:rFonts w:ascii="Verdana" w:hAnsi="Verdana"/>
                        <w:szCs w:val="18"/>
                        <w:lang w:val="it-IT"/>
                      </w:rPr>
                    </w:pPr>
                    <w:r w:rsidRPr="00321AD5">
                      <w:rPr>
                        <w:rFonts w:ascii="Verdana" w:hAnsi="Verdana"/>
                        <w:szCs w:val="18"/>
                        <w:lang w:val="it-IT"/>
                      </w:rPr>
                      <w:t>Str. Ștefan cel Mare, Nr. 3, Parc Industrial Șelimbăr</w:t>
                    </w:r>
                  </w:p>
                  <w:p w14:paraId="574F8192" w14:textId="77777777" w:rsidR="00670C93" w:rsidRPr="00321AD5" w:rsidRDefault="00670C93" w:rsidP="00670C93">
                    <w:pPr>
                      <w:jc w:val="both"/>
                      <w:rPr>
                        <w:rFonts w:ascii="Verdana" w:hAnsi="Verdana"/>
                        <w:szCs w:val="18"/>
                        <w:lang w:val="ro-RO"/>
                      </w:rPr>
                    </w:pPr>
                    <w:r w:rsidRPr="00321AD5">
                      <w:rPr>
                        <w:rFonts w:ascii="Verdana" w:hAnsi="Verdana"/>
                        <w:szCs w:val="18"/>
                        <w:lang w:val="it-IT"/>
                      </w:rPr>
                      <w:t>557260, Șelimbăr,</w:t>
                    </w:r>
                    <w:r w:rsidRPr="00321AD5">
                      <w:rPr>
                        <w:rFonts w:ascii="Verdana" w:hAnsi="Verdana"/>
                        <w:szCs w:val="18"/>
                        <w:lang w:val="en-GB"/>
                      </w:rPr>
                      <w:t xml:space="preserve"> </w:t>
                    </w:r>
                    <w:r w:rsidRPr="00321AD5">
                      <w:rPr>
                        <w:rFonts w:ascii="Verdana" w:hAnsi="Verdana"/>
                        <w:szCs w:val="18"/>
                        <w:lang w:val="ro-RO"/>
                      </w:rPr>
                      <w:t>România</w:t>
                    </w:r>
                  </w:p>
                  <w:p w14:paraId="202A90FD" w14:textId="77777777" w:rsidR="00670C93" w:rsidRPr="00321AD5" w:rsidRDefault="00670C93" w:rsidP="00670C93">
                    <w:pPr>
                      <w:jc w:val="both"/>
                      <w:rPr>
                        <w:rFonts w:ascii="Verdana" w:hAnsi="Verdana"/>
                        <w:szCs w:val="18"/>
                        <w:lang w:val="it-IT"/>
                      </w:rPr>
                    </w:pPr>
                  </w:p>
                  <w:p w14:paraId="1C08F050" w14:textId="77777777"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Telefon: +40 (269) 501 900</w:t>
                    </w:r>
                  </w:p>
                  <w:p w14:paraId="48B02857" w14:textId="2926BF21"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 xml:space="preserve"> Fax:+40 (269) 501 950</w:t>
                    </w:r>
                  </w:p>
                  <w:p w14:paraId="29086E71" w14:textId="77777777" w:rsidR="00670C93" w:rsidRPr="00321AD5" w:rsidRDefault="00670C93" w:rsidP="00670C93">
                    <w:pPr>
                      <w:tabs>
                        <w:tab w:val="left" w:pos="851"/>
                      </w:tabs>
                      <w:jc w:val="both"/>
                      <w:rPr>
                        <w:rFonts w:ascii="Verdana" w:hAnsi="Verdana"/>
                        <w:szCs w:val="18"/>
                        <w:lang w:val="it-IT"/>
                      </w:rPr>
                    </w:pPr>
                    <w:r w:rsidRPr="00321AD5">
                      <w:rPr>
                        <w:rFonts w:ascii="Verdana" w:hAnsi="Verdana"/>
                        <w:szCs w:val="18"/>
                        <w:lang w:val="it-IT"/>
                      </w:rPr>
                      <w:t xml:space="preserve">Web: </w:t>
                    </w:r>
                    <w:hyperlink r:id="rId3" w:history="1">
                      <w:r w:rsidRPr="00321AD5">
                        <w:rPr>
                          <w:rStyle w:val="Hyperlink"/>
                          <w:rFonts w:ascii="Verdana" w:hAnsi="Verdana"/>
                          <w:szCs w:val="18"/>
                          <w:lang w:val="it-IT"/>
                        </w:rPr>
                        <w:t>www.gls-romania.ro</w:t>
                      </w:r>
                    </w:hyperlink>
                  </w:p>
                  <w:p w14:paraId="4381C0EA" w14:textId="77777777" w:rsidR="00670C93" w:rsidRPr="00321AD5" w:rsidRDefault="00670C93" w:rsidP="00670C93">
                    <w:pPr>
                      <w:tabs>
                        <w:tab w:val="left" w:pos="851"/>
                      </w:tabs>
                      <w:jc w:val="both"/>
                      <w:rPr>
                        <w:sz w:val="16"/>
                        <w:szCs w:val="24"/>
                        <w:lang w:val="it-IT"/>
                      </w:rPr>
                    </w:pPr>
                    <w:r w:rsidRPr="00321AD5">
                      <w:rPr>
                        <w:sz w:val="16"/>
                        <w:szCs w:val="24"/>
                        <w:lang w:val="it-IT"/>
                      </w:rPr>
                      <w:br/>
                    </w:r>
                  </w:p>
                </w:txbxContent>
              </v:textbox>
            </v:shape>
          </w:pict>
        </mc:Fallback>
      </mc:AlternateContent>
    </w:r>
    <w:r w:rsidR="004102A1">
      <w:rPr>
        <w:noProof/>
        <w:lang w:eastAsia="nl-NL"/>
      </w:rPr>
      <mc:AlternateContent>
        <mc:Choice Requires="wps">
          <w:drawing>
            <wp:anchor distT="0" distB="0" distL="114300" distR="114300" simplePos="0" relativeHeight="251648000" behindDoc="0" locked="0" layoutInCell="1" allowOverlap="1" wp14:anchorId="18DAD026" wp14:editId="4C124934">
              <wp:simplePos x="0" y="0"/>
              <wp:positionH relativeFrom="column">
                <wp:posOffset>-1051560</wp:posOffset>
              </wp:positionH>
              <wp:positionV relativeFrom="paragraph">
                <wp:posOffset>-450215</wp:posOffset>
              </wp:positionV>
              <wp:extent cx="7557770" cy="1943735"/>
              <wp:effectExtent l="0" t="0" r="5080" b="0"/>
              <wp:wrapTight wrapText="bothSides">
                <wp:wrapPolygon edited="0">
                  <wp:start x="0" y="0"/>
                  <wp:lineTo x="0" y="21381"/>
                  <wp:lineTo x="21560" y="21381"/>
                  <wp:lineTo x="21560" y="0"/>
                  <wp:lineTo x="0" y="0"/>
                </wp:wrapPolygon>
              </wp:wrapTight>
              <wp:docPr id="6" name="Rechthoek 6"/>
              <wp:cNvGraphicFramePr/>
              <a:graphic xmlns:a="http://schemas.openxmlformats.org/drawingml/2006/main">
                <a:graphicData uri="http://schemas.microsoft.com/office/word/2010/wordprocessingShape">
                  <wps:wsp>
                    <wps:cNvSpPr/>
                    <wps:spPr>
                      <a:xfrm>
                        <a:off x="0" y="0"/>
                        <a:ext cx="7557770" cy="19437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0F9AB" id="Rechthoek 6" o:spid="_x0000_s1026" style="position:absolute;margin-left:-82.8pt;margin-top:-35.45pt;width:595.1pt;height:153.0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" fillcolor="white [3212]" stroked="f" strokeweight="2pt">
              <w10:wrap type="tigh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3BF"/>
    <w:multiLevelType w:val="hybridMultilevel"/>
    <w:tmpl w:val="B648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3F8B"/>
    <w:multiLevelType w:val="hybridMultilevel"/>
    <w:tmpl w:val="14C083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4331E35"/>
    <w:multiLevelType w:val="hybridMultilevel"/>
    <w:tmpl w:val="24B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5969"/>
    <w:multiLevelType w:val="hybridMultilevel"/>
    <w:tmpl w:val="71E4C828"/>
    <w:lvl w:ilvl="0" w:tplc="E51019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23AF17F7"/>
    <w:multiLevelType w:val="hybridMultilevel"/>
    <w:tmpl w:val="33E40EA6"/>
    <w:lvl w:ilvl="0" w:tplc="AE3013C0">
      <w:start w:val="1"/>
      <w:numFmt w:val="decimal"/>
      <w:lvlText w:val="%1."/>
      <w:lvlJc w:val="left"/>
      <w:pPr>
        <w:ind w:left="927"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5" w15:restartNumberingAfterBreak="0">
    <w:nsid w:val="46CA6DD5"/>
    <w:multiLevelType w:val="hybridMultilevel"/>
    <w:tmpl w:val="B15CAB6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5DDD2432"/>
    <w:multiLevelType w:val="hybridMultilevel"/>
    <w:tmpl w:val="9DD6C516"/>
    <w:lvl w:ilvl="0" w:tplc="135AB8DE">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E0F83"/>
    <w:multiLevelType w:val="hybridMultilevel"/>
    <w:tmpl w:val="DADE23E8"/>
    <w:lvl w:ilvl="0" w:tplc="CBA65C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6E870636"/>
    <w:multiLevelType w:val="hybridMultilevel"/>
    <w:tmpl w:val="0652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298651">
    <w:abstractNumId w:val="1"/>
  </w:num>
  <w:num w:numId="2" w16cid:durableId="40181257">
    <w:abstractNumId w:val="4"/>
  </w:num>
  <w:num w:numId="3" w16cid:durableId="1919946685">
    <w:abstractNumId w:val="3"/>
  </w:num>
  <w:num w:numId="4" w16cid:durableId="798693853">
    <w:abstractNumId w:val="7"/>
  </w:num>
  <w:num w:numId="5" w16cid:durableId="1043678832">
    <w:abstractNumId w:val="0"/>
  </w:num>
  <w:num w:numId="6" w16cid:durableId="1595280245">
    <w:abstractNumId w:val="5"/>
  </w:num>
  <w:num w:numId="7" w16cid:durableId="96562153">
    <w:abstractNumId w:val="2"/>
  </w:num>
  <w:num w:numId="8" w16cid:durableId="1631590624">
    <w:abstractNumId w:val="8"/>
  </w:num>
  <w:num w:numId="9" w16cid:durableId="769736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C9"/>
    <w:rsid w:val="00005640"/>
    <w:rsid w:val="00033B71"/>
    <w:rsid w:val="0004656E"/>
    <w:rsid w:val="00053A5E"/>
    <w:rsid w:val="00067BB3"/>
    <w:rsid w:val="000771BA"/>
    <w:rsid w:val="00094D92"/>
    <w:rsid w:val="000A3B1A"/>
    <w:rsid w:val="000A5819"/>
    <w:rsid w:val="000C47EE"/>
    <w:rsid w:val="000D6AB4"/>
    <w:rsid w:val="000D73A3"/>
    <w:rsid w:val="000F73AE"/>
    <w:rsid w:val="001049DC"/>
    <w:rsid w:val="00121BD1"/>
    <w:rsid w:val="001334FC"/>
    <w:rsid w:val="0014254C"/>
    <w:rsid w:val="00153EA0"/>
    <w:rsid w:val="001565BA"/>
    <w:rsid w:val="00191EAF"/>
    <w:rsid w:val="00193978"/>
    <w:rsid w:val="001B347B"/>
    <w:rsid w:val="001B6B0C"/>
    <w:rsid w:val="001C2750"/>
    <w:rsid w:val="001C7854"/>
    <w:rsid w:val="001D5776"/>
    <w:rsid w:val="00202099"/>
    <w:rsid w:val="002064ED"/>
    <w:rsid w:val="00216F94"/>
    <w:rsid w:val="00221DC5"/>
    <w:rsid w:val="00222DC8"/>
    <w:rsid w:val="00223419"/>
    <w:rsid w:val="00226BB1"/>
    <w:rsid w:val="00232A2E"/>
    <w:rsid w:val="00235F30"/>
    <w:rsid w:val="00236DEE"/>
    <w:rsid w:val="00253963"/>
    <w:rsid w:val="0025778E"/>
    <w:rsid w:val="002660AE"/>
    <w:rsid w:val="002831A0"/>
    <w:rsid w:val="0028428D"/>
    <w:rsid w:val="0028787D"/>
    <w:rsid w:val="002906D2"/>
    <w:rsid w:val="00292095"/>
    <w:rsid w:val="00292695"/>
    <w:rsid w:val="0029271F"/>
    <w:rsid w:val="00297943"/>
    <w:rsid w:val="002A2A64"/>
    <w:rsid w:val="002A73F8"/>
    <w:rsid w:val="002D158B"/>
    <w:rsid w:val="002F08D6"/>
    <w:rsid w:val="003044C9"/>
    <w:rsid w:val="00316E4E"/>
    <w:rsid w:val="00327222"/>
    <w:rsid w:val="00332289"/>
    <w:rsid w:val="00340068"/>
    <w:rsid w:val="00346279"/>
    <w:rsid w:val="00350FC7"/>
    <w:rsid w:val="003755B2"/>
    <w:rsid w:val="00376599"/>
    <w:rsid w:val="00383497"/>
    <w:rsid w:val="00387F5E"/>
    <w:rsid w:val="003A749B"/>
    <w:rsid w:val="003B19EB"/>
    <w:rsid w:val="003C7759"/>
    <w:rsid w:val="003E6AE4"/>
    <w:rsid w:val="00405CE6"/>
    <w:rsid w:val="00406E4A"/>
    <w:rsid w:val="0040799F"/>
    <w:rsid w:val="004102A1"/>
    <w:rsid w:val="004402A9"/>
    <w:rsid w:val="004418D7"/>
    <w:rsid w:val="004427F3"/>
    <w:rsid w:val="004476D1"/>
    <w:rsid w:val="00457389"/>
    <w:rsid w:val="00460B33"/>
    <w:rsid w:val="00462B9F"/>
    <w:rsid w:val="00464564"/>
    <w:rsid w:val="00471775"/>
    <w:rsid w:val="00471DBF"/>
    <w:rsid w:val="00473EC6"/>
    <w:rsid w:val="00483F4A"/>
    <w:rsid w:val="00486CF0"/>
    <w:rsid w:val="00487B58"/>
    <w:rsid w:val="00493115"/>
    <w:rsid w:val="004960F2"/>
    <w:rsid w:val="004A3ECD"/>
    <w:rsid w:val="004A4928"/>
    <w:rsid w:val="004C4682"/>
    <w:rsid w:val="004D460C"/>
    <w:rsid w:val="004E3292"/>
    <w:rsid w:val="005015C9"/>
    <w:rsid w:val="0050408A"/>
    <w:rsid w:val="00525459"/>
    <w:rsid w:val="005366AB"/>
    <w:rsid w:val="00553564"/>
    <w:rsid w:val="00570301"/>
    <w:rsid w:val="005755F8"/>
    <w:rsid w:val="0057641F"/>
    <w:rsid w:val="005815DF"/>
    <w:rsid w:val="00581C14"/>
    <w:rsid w:val="005837A3"/>
    <w:rsid w:val="005A0C6F"/>
    <w:rsid w:val="005A4FC3"/>
    <w:rsid w:val="005B0B9C"/>
    <w:rsid w:val="005B1004"/>
    <w:rsid w:val="005B4608"/>
    <w:rsid w:val="005B6E83"/>
    <w:rsid w:val="005C6C91"/>
    <w:rsid w:val="005D3143"/>
    <w:rsid w:val="005D33F6"/>
    <w:rsid w:val="005D5CBF"/>
    <w:rsid w:val="005F36E9"/>
    <w:rsid w:val="005F6A0F"/>
    <w:rsid w:val="00611883"/>
    <w:rsid w:val="006177A1"/>
    <w:rsid w:val="006308CD"/>
    <w:rsid w:val="006559C9"/>
    <w:rsid w:val="00670C93"/>
    <w:rsid w:val="0067198F"/>
    <w:rsid w:val="00683EBC"/>
    <w:rsid w:val="00685FD5"/>
    <w:rsid w:val="006A0E71"/>
    <w:rsid w:val="006A45A9"/>
    <w:rsid w:val="006A6983"/>
    <w:rsid w:val="006A7889"/>
    <w:rsid w:val="006B1139"/>
    <w:rsid w:val="006D73E0"/>
    <w:rsid w:val="006E24D1"/>
    <w:rsid w:val="006E6124"/>
    <w:rsid w:val="006F3D35"/>
    <w:rsid w:val="006F7FC5"/>
    <w:rsid w:val="00735CAF"/>
    <w:rsid w:val="00736F74"/>
    <w:rsid w:val="00737B6C"/>
    <w:rsid w:val="00737ED2"/>
    <w:rsid w:val="0076194E"/>
    <w:rsid w:val="00761AAC"/>
    <w:rsid w:val="007650E9"/>
    <w:rsid w:val="00790D08"/>
    <w:rsid w:val="00794D76"/>
    <w:rsid w:val="007A50F5"/>
    <w:rsid w:val="007C2012"/>
    <w:rsid w:val="007C5414"/>
    <w:rsid w:val="007E53DA"/>
    <w:rsid w:val="007E6DE2"/>
    <w:rsid w:val="007F1757"/>
    <w:rsid w:val="007F443C"/>
    <w:rsid w:val="007F7446"/>
    <w:rsid w:val="00802F53"/>
    <w:rsid w:val="00820B77"/>
    <w:rsid w:val="0083224E"/>
    <w:rsid w:val="0084242A"/>
    <w:rsid w:val="0085439F"/>
    <w:rsid w:val="008657FE"/>
    <w:rsid w:val="008678A2"/>
    <w:rsid w:val="00867969"/>
    <w:rsid w:val="008931FA"/>
    <w:rsid w:val="008B0E55"/>
    <w:rsid w:val="008C3230"/>
    <w:rsid w:val="008C391F"/>
    <w:rsid w:val="008C5AF3"/>
    <w:rsid w:val="008E6306"/>
    <w:rsid w:val="008F78C1"/>
    <w:rsid w:val="0091341B"/>
    <w:rsid w:val="00925411"/>
    <w:rsid w:val="00934231"/>
    <w:rsid w:val="00943946"/>
    <w:rsid w:val="0094653C"/>
    <w:rsid w:val="00951781"/>
    <w:rsid w:val="00951A9E"/>
    <w:rsid w:val="00951FE1"/>
    <w:rsid w:val="00970E78"/>
    <w:rsid w:val="009846FA"/>
    <w:rsid w:val="009B5C6F"/>
    <w:rsid w:val="009C1E66"/>
    <w:rsid w:val="009E6719"/>
    <w:rsid w:val="00A07CE7"/>
    <w:rsid w:val="00A10941"/>
    <w:rsid w:val="00A31D8B"/>
    <w:rsid w:val="00A37C16"/>
    <w:rsid w:val="00A40B48"/>
    <w:rsid w:val="00A4558C"/>
    <w:rsid w:val="00A61F75"/>
    <w:rsid w:val="00A71D41"/>
    <w:rsid w:val="00A861E9"/>
    <w:rsid w:val="00AB360A"/>
    <w:rsid w:val="00AC41FE"/>
    <w:rsid w:val="00AE10BA"/>
    <w:rsid w:val="00AE62AC"/>
    <w:rsid w:val="00AE7CA2"/>
    <w:rsid w:val="00AF03B5"/>
    <w:rsid w:val="00B01DD0"/>
    <w:rsid w:val="00B26642"/>
    <w:rsid w:val="00B267F4"/>
    <w:rsid w:val="00B32AFF"/>
    <w:rsid w:val="00B3561D"/>
    <w:rsid w:val="00B35F24"/>
    <w:rsid w:val="00B54A6B"/>
    <w:rsid w:val="00B550AC"/>
    <w:rsid w:val="00B6321F"/>
    <w:rsid w:val="00B66B94"/>
    <w:rsid w:val="00B86A7D"/>
    <w:rsid w:val="00B86A88"/>
    <w:rsid w:val="00B92798"/>
    <w:rsid w:val="00B94DAE"/>
    <w:rsid w:val="00BA08C5"/>
    <w:rsid w:val="00BA1DE2"/>
    <w:rsid w:val="00BA3AD9"/>
    <w:rsid w:val="00BA5B4A"/>
    <w:rsid w:val="00BB7D5A"/>
    <w:rsid w:val="00BD094B"/>
    <w:rsid w:val="00BE61A8"/>
    <w:rsid w:val="00BF1D6A"/>
    <w:rsid w:val="00BF294F"/>
    <w:rsid w:val="00C03DB3"/>
    <w:rsid w:val="00C04F04"/>
    <w:rsid w:val="00C063ED"/>
    <w:rsid w:val="00C10AF1"/>
    <w:rsid w:val="00C16F89"/>
    <w:rsid w:val="00C21B3D"/>
    <w:rsid w:val="00C30AAD"/>
    <w:rsid w:val="00C327F9"/>
    <w:rsid w:val="00C36261"/>
    <w:rsid w:val="00C6075A"/>
    <w:rsid w:val="00C66F49"/>
    <w:rsid w:val="00C71B0B"/>
    <w:rsid w:val="00C91F75"/>
    <w:rsid w:val="00CC6569"/>
    <w:rsid w:val="00CE69D4"/>
    <w:rsid w:val="00D16B4F"/>
    <w:rsid w:val="00D32180"/>
    <w:rsid w:val="00D32500"/>
    <w:rsid w:val="00D343E5"/>
    <w:rsid w:val="00D358E3"/>
    <w:rsid w:val="00D42239"/>
    <w:rsid w:val="00D51208"/>
    <w:rsid w:val="00D62920"/>
    <w:rsid w:val="00D639F2"/>
    <w:rsid w:val="00D704F6"/>
    <w:rsid w:val="00D854FD"/>
    <w:rsid w:val="00D97D70"/>
    <w:rsid w:val="00DA5D2D"/>
    <w:rsid w:val="00DB0A6D"/>
    <w:rsid w:val="00DD6A39"/>
    <w:rsid w:val="00DE3080"/>
    <w:rsid w:val="00DF2CEA"/>
    <w:rsid w:val="00E00051"/>
    <w:rsid w:val="00E0363D"/>
    <w:rsid w:val="00E04610"/>
    <w:rsid w:val="00E12219"/>
    <w:rsid w:val="00E14A84"/>
    <w:rsid w:val="00E20562"/>
    <w:rsid w:val="00E22409"/>
    <w:rsid w:val="00E30C1B"/>
    <w:rsid w:val="00E31580"/>
    <w:rsid w:val="00E3594F"/>
    <w:rsid w:val="00E35D4B"/>
    <w:rsid w:val="00E56977"/>
    <w:rsid w:val="00E72A44"/>
    <w:rsid w:val="00E82456"/>
    <w:rsid w:val="00E86C58"/>
    <w:rsid w:val="00EA35D4"/>
    <w:rsid w:val="00EA6599"/>
    <w:rsid w:val="00EC5EE2"/>
    <w:rsid w:val="00EC6C7C"/>
    <w:rsid w:val="00EF0999"/>
    <w:rsid w:val="00EF16A6"/>
    <w:rsid w:val="00EF4412"/>
    <w:rsid w:val="00F03985"/>
    <w:rsid w:val="00F07528"/>
    <w:rsid w:val="00F12B91"/>
    <w:rsid w:val="00F15ED5"/>
    <w:rsid w:val="00F634AB"/>
    <w:rsid w:val="00F64038"/>
    <w:rsid w:val="00F70DCE"/>
    <w:rsid w:val="00F8150C"/>
    <w:rsid w:val="00F82859"/>
    <w:rsid w:val="00F90659"/>
    <w:rsid w:val="00FB3DF5"/>
    <w:rsid w:val="00FB4D96"/>
    <w:rsid w:val="00FC45A3"/>
    <w:rsid w:val="00FD0957"/>
    <w:rsid w:val="00FD3B21"/>
    <w:rsid w:val="00FF4707"/>
    <w:rsid w:val="00FF4B50"/>
    <w:rsid w:val="00FF6CAB"/>
    <w:rsid w:val="00FF6D0B"/>
    <w:rsid w:val="00FF7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AF57E"/>
  <w15:docId w15:val="{D5CA5686-B470-4344-8B27-59CC524A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A3"/>
    <w:pPr>
      <w:spacing w:after="0" w:line="220" w:lineRule="exact"/>
    </w:pPr>
    <w:rPr>
      <w:color w:val="231F20" w:themeColor="text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41B"/>
    <w:pPr>
      <w:tabs>
        <w:tab w:val="center" w:pos="4513"/>
        <w:tab w:val="right" w:pos="9026"/>
      </w:tabs>
      <w:spacing w:line="240" w:lineRule="auto"/>
    </w:pPr>
  </w:style>
  <w:style w:type="character" w:customStyle="1" w:styleId="HeaderChar">
    <w:name w:val="Header Char"/>
    <w:basedOn w:val="DefaultParagraphFont"/>
    <w:link w:val="Header"/>
    <w:uiPriority w:val="99"/>
    <w:rsid w:val="0091341B"/>
  </w:style>
  <w:style w:type="paragraph" w:styleId="Footer">
    <w:name w:val="footer"/>
    <w:basedOn w:val="Normal"/>
    <w:link w:val="FooterChar"/>
    <w:uiPriority w:val="99"/>
    <w:unhideWhenUsed/>
    <w:qFormat/>
    <w:rsid w:val="00297943"/>
    <w:pPr>
      <w:tabs>
        <w:tab w:val="center" w:pos="4513"/>
        <w:tab w:val="right" w:pos="9026"/>
      </w:tabs>
      <w:spacing w:line="140" w:lineRule="exact"/>
    </w:pPr>
    <w:rPr>
      <w:sz w:val="13"/>
    </w:rPr>
  </w:style>
  <w:style w:type="character" w:customStyle="1" w:styleId="FooterChar">
    <w:name w:val="Footer Char"/>
    <w:basedOn w:val="DefaultParagraphFont"/>
    <w:link w:val="Footer"/>
    <w:uiPriority w:val="99"/>
    <w:rsid w:val="00297943"/>
    <w:rPr>
      <w:color w:val="231F20" w:themeColor="text1"/>
      <w:sz w:val="13"/>
    </w:rPr>
  </w:style>
  <w:style w:type="paragraph" w:styleId="BalloonText">
    <w:name w:val="Balloon Text"/>
    <w:basedOn w:val="Normal"/>
    <w:link w:val="BalloonTextChar"/>
    <w:uiPriority w:val="99"/>
    <w:semiHidden/>
    <w:unhideWhenUsed/>
    <w:rsid w:val="009134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41B"/>
    <w:rPr>
      <w:rFonts w:ascii="Tahoma" w:hAnsi="Tahoma" w:cs="Tahoma"/>
      <w:sz w:val="16"/>
      <w:szCs w:val="16"/>
    </w:rPr>
  </w:style>
  <w:style w:type="paragraph" w:customStyle="1" w:styleId="Basisalinea">
    <w:name w:val="[Basisalinea]"/>
    <w:basedOn w:val="Normal"/>
    <w:uiPriority w:val="99"/>
    <w:rsid w:val="00253963"/>
    <w:pPr>
      <w:autoSpaceDE w:val="0"/>
      <w:autoSpaceDN w:val="0"/>
      <w:adjustRightInd w:val="0"/>
      <w:spacing w:line="288" w:lineRule="auto"/>
      <w:textAlignment w:val="center"/>
    </w:pPr>
    <w:rPr>
      <w:rFonts w:ascii="Minion Pro" w:hAnsi="Minion Pro" w:cs="Minion Pro"/>
      <w:color w:val="000000"/>
      <w:sz w:val="24"/>
      <w:szCs w:val="24"/>
      <w:lang w:val="en-US"/>
    </w:rPr>
  </w:style>
  <w:style w:type="table" w:styleId="TableGrid">
    <w:name w:val="Table Grid"/>
    <w:basedOn w:val="TableNormal"/>
    <w:rsid w:val="00E2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3292"/>
    <w:rPr>
      <w:color w:val="808080"/>
    </w:rPr>
  </w:style>
  <w:style w:type="paragraph" w:customStyle="1" w:styleId="Body">
    <w:name w:val="Body"/>
    <w:basedOn w:val="Normal"/>
    <w:uiPriority w:val="99"/>
    <w:rsid w:val="005837A3"/>
    <w:pPr>
      <w:autoSpaceDE w:val="0"/>
      <w:autoSpaceDN w:val="0"/>
      <w:adjustRightInd w:val="0"/>
      <w:spacing w:line="240" w:lineRule="atLeast"/>
      <w:textAlignment w:val="center"/>
    </w:pPr>
    <w:rPr>
      <w:rFonts w:ascii="Newson Regular" w:hAnsi="Newson Regular" w:cs="Newson Regular"/>
      <w:color w:val="000000"/>
      <w:szCs w:val="18"/>
      <w:lang w:val="en-US"/>
    </w:rPr>
  </w:style>
  <w:style w:type="character" w:styleId="Hyperlink">
    <w:name w:val="Hyperlink"/>
    <w:rsid w:val="00670C93"/>
    <w:rPr>
      <w:color w:val="0000FF"/>
      <w:u w:val="single"/>
    </w:rPr>
  </w:style>
  <w:style w:type="paragraph" w:styleId="ListParagraph">
    <w:name w:val="List Paragraph"/>
    <w:basedOn w:val="Normal"/>
    <w:uiPriority w:val="34"/>
    <w:qFormat/>
    <w:rsid w:val="00216F94"/>
    <w:pPr>
      <w:ind w:left="720"/>
      <w:contextualSpacing/>
    </w:pPr>
  </w:style>
  <w:style w:type="paragraph" w:styleId="NormalWeb">
    <w:name w:val="Normal (Web)"/>
    <w:basedOn w:val="Normal"/>
    <w:uiPriority w:val="99"/>
    <w:unhideWhenUsed/>
    <w:rsid w:val="00F12B91"/>
    <w:pPr>
      <w:spacing w:before="100" w:beforeAutospacing="1" w:after="100" w:afterAutospacing="1" w:line="240" w:lineRule="auto"/>
    </w:pPr>
    <w:rPr>
      <w:rFonts w:ascii="Times New Roman" w:eastAsia="Calibri" w:hAnsi="Times New Roman" w:cs="Times New Roman"/>
      <w:color w:val="auto"/>
      <w:sz w:val="24"/>
      <w:szCs w:val="24"/>
      <w:lang w:val="en-US"/>
    </w:rPr>
  </w:style>
  <w:style w:type="paragraph" w:customStyle="1" w:styleId="LLNormal">
    <w:name w:val="LL_Normal"/>
    <w:basedOn w:val="Normal"/>
    <w:link w:val="LLNormalChar"/>
    <w:qFormat/>
    <w:rsid w:val="00473EC6"/>
    <w:pPr>
      <w:suppressAutoHyphens/>
      <w:spacing w:after="200" w:line="280" w:lineRule="atLeast"/>
      <w:jc w:val="both"/>
    </w:pPr>
    <w:rPr>
      <w:rFonts w:ascii="Arial" w:eastAsia="Calibri" w:hAnsi="Arial" w:cs="Times New Roman"/>
      <w:color w:val="auto"/>
      <w:sz w:val="20"/>
      <w:lang w:val="en-GB"/>
    </w:rPr>
  </w:style>
  <w:style w:type="character" w:customStyle="1" w:styleId="LLNormalChar">
    <w:name w:val="LL_Normal Char"/>
    <w:link w:val="LLNormal"/>
    <w:rsid w:val="00473EC6"/>
    <w:rPr>
      <w:rFonts w:ascii="Arial" w:eastAsia="Calibri" w:hAnsi="Arial" w:cs="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35450">
      <w:bodyDiv w:val="1"/>
      <w:marLeft w:val="0"/>
      <w:marRight w:val="0"/>
      <w:marTop w:val="0"/>
      <w:marBottom w:val="0"/>
      <w:divBdr>
        <w:top w:val="none" w:sz="0" w:space="0" w:color="auto"/>
        <w:left w:val="none" w:sz="0" w:space="0" w:color="auto"/>
        <w:bottom w:val="none" w:sz="0" w:space="0" w:color="auto"/>
        <w:right w:val="none" w:sz="0" w:space="0" w:color="auto"/>
      </w:divBdr>
    </w:div>
    <w:div w:id="969702554">
      <w:bodyDiv w:val="1"/>
      <w:marLeft w:val="0"/>
      <w:marRight w:val="0"/>
      <w:marTop w:val="0"/>
      <w:marBottom w:val="0"/>
      <w:divBdr>
        <w:top w:val="none" w:sz="0" w:space="0" w:color="auto"/>
        <w:left w:val="none" w:sz="0" w:space="0" w:color="auto"/>
        <w:bottom w:val="none" w:sz="0" w:space="0" w:color="auto"/>
        <w:right w:val="none" w:sz="0" w:space="0" w:color="auto"/>
      </w:divBdr>
    </w:div>
    <w:div w:id="973754875">
      <w:bodyDiv w:val="1"/>
      <w:marLeft w:val="0"/>
      <w:marRight w:val="0"/>
      <w:marTop w:val="0"/>
      <w:marBottom w:val="0"/>
      <w:divBdr>
        <w:top w:val="none" w:sz="0" w:space="0" w:color="auto"/>
        <w:left w:val="none" w:sz="0" w:space="0" w:color="auto"/>
        <w:bottom w:val="none" w:sz="0" w:space="0" w:color="auto"/>
        <w:right w:val="none" w:sz="0" w:space="0" w:color="auto"/>
      </w:divBdr>
    </w:div>
    <w:div w:id="207658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gls-romania.ro" TargetMode="External"/><Relationship Id="rId2" Type="http://schemas.openxmlformats.org/officeDocument/2006/relationships/hyperlink" Target="http://www.gls-romania.ro"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GLS">
      <a:dk1>
        <a:srgbClr val="231F20"/>
      </a:dk1>
      <a:lt1>
        <a:srgbClr val="FFFFFF"/>
      </a:lt1>
      <a:dk2>
        <a:srgbClr val="061AB1"/>
      </a:dk2>
      <a:lt2>
        <a:srgbClr val="FFD100"/>
      </a:lt2>
      <a:accent1>
        <a:srgbClr val="C8E7F2"/>
      </a:accent1>
      <a:accent2>
        <a:srgbClr val="F3C8D4"/>
      </a:accent2>
      <a:accent3>
        <a:srgbClr val="C0E2AD"/>
      </a:accent3>
      <a:accent4>
        <a:srgbClr val="1601FF"/>
      </a:accent4>
      <a:accent5>
        <a:srgbClr val="00C2F0"/>
      </a:accent5>
      <a:accent6>
        <a:srgbClr val="FF860D"/>
      </a:accent6>
      <a:hlink>
        <a:srgbClr val="061AB1"/>
      </a:hlink>
      <a:folHlink>
        <a:srgbClr val="061AB1"/>
      </a:folHlink>
    </a:clrScheme>
    <a:fontScheme name="GLS">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6170c30-202d-4926-b525-b8b882873f3b}" enabled="0" method="" siteId="{e6170c30-202d-4926-b525-b8b882873f3b}"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7</Pages>
  <Words>2233</Words>
  <Characters>12734</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Martin Brinkman</dc:creator>
  <cp:lastModifiedBy>Catalina Comaniciu</cp:lastModifiedBy>
  <cp:revision>8</cp:revision>
  <cp:lastPrinted>2025-01-30T09:00:00Z</cp:lastPrinted>
  <dcterms:created xsi:type="dcterms:W3CDTF">2025-04-01T08:19:00Z</dcterms:created>
  <dcterms:modified xsi:type="dcterms:W3CDTF">2025-04-01T10:02:00Z</dcterms:modified>
</cp:coreProperties>
</file>